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19F" w:rsidRDefault="006D219F" w:rsidP="006D219F">
      <w:pPr>
        <w:pStyle w:val="Nadpis7"/>
        <w:rPr>
          <w:sz w:val="32"/>
        </w:rPr>
      </w:pPr>
      <w:r>
        <w:rPr>
          <w:sz w:val="32"/>
        </w:rPr>
        <w:t xml:space="preserve">MĚSTSKÁ ČÁST PRAHA-LIBUŠ                                  </w:t>
      </w:r>
    </w:p>
    <w:p w:rsidR="006D219F" w:rsidRDefault="006D219F" w:rsidP="006D219F">
      <w:pPr>
        <w:pStyle w:val="Nadpis1"/>
        <w:tabs>
          <w:tab w:val="right" w:pos="9000"/>
        </w:tabs>
        <w:spacing w:after="600"/>
        <w:ind w:right="-108"/>
      </w:pPr>
      <w:r>
        <w:t>ZASTUPITELSTVO MĚSTSKÉ ČÁSTI</w:t>
      </w:r>
      <w:r>
        <w:tab/>
      </w:r>
      <w:r w:rsidR="00E43397">
        <w:rPr>
          <w:b/>
          <w:sz w:val="28"/>
        </w:rPr>
        <w:t xml:space="preserve">Konané </w:t>
      </w:r>
      <w:r>
        <w:rPr>
          <w:b/>
          <w:sz w:val="28"/>
        </w:rPr>
        <w:t>dne 11. 1. 2022</w:t>
      </w:r>
    </w:p>
    <w:p w:rsidR="006D219F" w:rsidRDefault="006D219F" w:rsidP="006D219F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>
        <w:rPr>
          <w:b/>
          <w:sz w:val="36"/>
        </w:rPr>
        <w:t>TISK:  Z </w:t>
      </w:r>
      <w:r w:rsidR="00803D73">
        <w:rPr>
          <w:b/>
          <w:sz w:val="36"/>
        </w:rPr>
        <w:t>001</w:t>
      </w:r>
    </w:p>
    <w:p w:rsidR="006D219F" w:rsidRDefault="006D219F" w:rsidP="006D219F">
      <w:pPr>
        <w:tabs>
          <w:tab w:val="left" w:pos="720"/>
        </w:tabs>
        <w:spacing w:after="600"/>
        <w:jc w:val="both"/>
        <w:rPr>
          <w:b/>
          <w:bCs/>
          <w:sz w:val="28"/>
        </w:rPr>
      </w:pPr>
      <w:r>
        <w:rPr>
          <w:b/>
          <w:bCs/>
          <w:sz w:val="28"/>
        </w:rPr>
        <w:t>Věc: Záměr na prodej pozemků pod bytovým domem č. p. 7 v ulici Libušská, Praha 4 - Libuš Bytovému družstvu Libuš</w:t>
      </w:r>
    </w:p>
    <w:p w:rsidR="006D219F" w:rsidRDefault="006D219F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  <w:t xml:space="preserve">            Mgr. Jiří Koubek- starosta</w:t>
      </w:r>
    </w:p>
    <w:p w:rsidR="001B07F0" w:rsidRDefault="006D219F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Zpracovali:</w:t>
      </w:r>
      <w:r>
        <w:rPr>
          <w:sz w:val="28"/>
        </w:rPr>
        <w:tab/>
        <w:t xml:space="preserve">            </w:t>
      </w:r>
      <w:r w:rsidR="001B07F0">
        <w:rPr>
          <w:sz w:val="28"/>
        </w:rPr>
        <w:t xml:space="preserve">Ing. Jindřich Sochůrek – tajemník ÚMČ </w:t>
      </w:r>
    </w:p>
    <w:p w:rsidR="006D219F" w:rsidRDefault="001B07F0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ab/>
        <w:t xml:space="preserve">            </w:t>
      </w:r>
      <w:r w:rsidR="006D219F">
        <w:rPr>
          <w:sz w:val="28"/>
        </w:rPr>
        <w:t>paní Šárka Pichová - vedoucí OSMI</w:t>
      </w:r>
    </w:p>
    <w:p w:rsidR="006D219F" w:rsidRDefault="006D219F" w:rsidP="006D219F">
      <w:pPr>
        <w:tabs>
          <w:tab w:val="left" w:pos="2160"/>
        </w:tabs>
        <w:jc w:val="both"/>
        <w:rPr>
          <w:sz w:val="28"/>
        </w:rPr>
      </w:pPr>
      <w:r w:rsidRPr="00D46B99">
        <w:rPr>
          <w:sz w:val="28"/>
        </w:rPr>
        <w:t xml:space="preserve">Termín plnění: </w:t>
      </w:r>
      <w:r w:rsidRPr="00D46B99">
        <w:rPr>
          <w:sz w:val="28"/>
        </w:rPr>
        <w:tab/>
      </w:r>
      <w:r>
        <w:rPr>
          <w:sz w:val="28"/>
        </w:rPr>
        <w:tab/>
        <w:t xml:space="preserve">   </w:t>
      </w:r>
      <w:r w:rsidR="009A3A17">
        <w:rPr>
          <w:sz w:val="28"/>
        </w:rPr>
        <w:t>11</w:t>
      </w:r>
      <w:r>
        <w:rPr>
          <w:sz w:val="28"/>
        </w:rPr>
        <w:t>. 1. 2022</w:t>
      </w:r>
      <w:r w:rsidRPr="00D46B99">
        <w:rPr>
          <w:sz w:val="28"/>
        </w:rPr>
        <w:tab/>
      </w:r>
      <w:r>
        <w:rPr>
          <w:sz w:val="28"/>
        </w:rPr>
        <w:tab/>
      </w:r>
    </w:p>
    <w:p w:rsidR="006D219F" w:rsidRDefault="006D219F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</w:r>
      <w:r>
        <w:rPr>
          <w:sz w:val="28"/>
        </w:rPr>
        <w:tab/>
        <w:t xml:space="preserve">   </w:t>
      </w:r>
      <w:r w:rsidR="009A3A17">
        <w:rPr>
          <w:sz w:val="28"/>
        </w:rPr>
        <w:t>31</w:t>
      </w:r>
      <w:r>
        <w:rPr>
          <w:sz w:val="28"/>
        </w:rPr>
        <w:t>. 1. 2022</w:t>
      </w:r>
    </w:p>
    <w:p w:rsidR="006D219F" w:rsidRDefault="006D219F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 xml:space="preserve">Zodpovídá:                      </w:t>
      </w:r>
      <w:r>
        <w:rPr>
          <w:sz w:val="28"/>
        </w:rPr>
        <w:tab/>
        <w:t xml:space="preserve"> Mgr. Jiří Koubek - starosta</w:t>
      </w:r>
    </w:p>
    <w:p w:rsidR="006D219F" w:rsidRDefault="006D219F" w:rsidP="006D219F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Návrh Kupní smlouvy vypracován AK HKR, Mgr. Petr Brejl</w:t>
      </w:r>
    </w:p>
    <w:p w:rsidR="006D219F" w:rsidRPr="00FD3F32" w:rsidRDefault="006D219F" w:rsidP="006D219F">
      <w:pPr>
        <w:tabs>
          <w:tab w:val="left" w:pos="426"/>
        </w:tabs>
        <w:jc w:val="both"/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044E3F3" wp14:editId="7DE9C29B">
                <wp:extent cx="5767070" cy="258445"/>
                <wp:effectExtent l="13970" t="2540" r="10160" b="0"/>
                <wp:docPr id="4" name="Plátn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7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4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7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J4+8UAAADaAAAADwAAAGRycy9kb3ducmV2LnhtbESPQWsCMRSE7wX/Q3hCL6VmbYvY1Sgi&#10;CB68VGWlt9fNc7Ps5mVNom7/fVMo9DjMzDfMfNnbVtzIh9qxgvEoA0FcOl1zpeB42DxPQYSIrLF1&#10;TAq+KcByMXiYY67dnT/oto+VSBAOOSowMXa5lKE0ZDGMXEecvLPzFmOSvpLa4z3BbStfsmwiLdac&#10;Fgx2tDZUNvurVSCnu6eLX329NUVzOr2boiy6z51Sj8N+NQMRqY//4b/2Vit4h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MJ4+8UAAADaAAAADwAAAAAAAAAA&#10;AAAAAAChAgAAZHJzL2Rvd25yZXYueG1sUEsFBgAAAAAEAAQA+QAAAJMDAAAAAA==&#10;"/>
                <w10:anchorlock/>
              </v:group>
            </w:pict>
          </mc:Fallback>
        </mc:AlternateContent>
      </w:r>
      <w:r w:rsidRPr="00926840">
        <w:rPr>
          <w:sz w:val="28"/>
        </w:rPr>
        <w:t xml:space="preserve"> </w:t>
      </w:r>
      <w:r w:rsidRPr="00FD3F32">
        <w:t>Přílohy:</w:t>
      </w:r>
      <w:r>
        <w:rPr>
          <w:sz w:val="28"/>
        </w:rPr>
        <w:t xml:space="preserve">   1) </w:t>
      </w:r>
      <w:r w:rsidRPr="00FD3F32">
        <w:t xml:space="preserve">Důvodová zpráva </w:t>
      </w:r>
    </w:p>
    <w:p w:rsidR="006D219F" w:rsidRPr="00FD3F32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 xml:space="preserve">Znalecký posudek č. 135/3605/20 ze dne 19. 11. 2020 vyhotovený znalcem Ing. Janem </w:t>
      </w:r>
      <w:proofErr w:type="spellStart"/>
      <w:r w:rsidRPr="00FD3F32">
        <w:rPr>
          <w:rFonts w:ascii="Times New Roman" w:hAnsi="Times New Roman"/>
          <w:sz w:val="24"/>
          <w:szCs w:val="24"/>
        </w:rPr>
        <w:t>Fujáčkem</w:t>
      </w:r>
      <w:proofErr w:type="spellEnd"/>
    </w:p>
    <w:p w:rsidR="006D219F" w:rsidRPr="00FD3F32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 xml:space="preserve">Znalecký posudek č. 136/3606/20 ze dne 20. 11. 2020 vyhotovený znalcem Ing. Janem </w:t>
      </w:r>
      <w:proofErr w:type="spellStart"/>
      <w:r w:rsidRPr="00FD3F32">
        <w:rPr>
          <w:rFonts w:ascii="Times New Roman" w:hAnsi="Times New Roman"/>
          <w:sz w:val="24"/>
          <w:szCs w:val="24"/>
        </w:rPr>
        <w:t>Fujáčkem</w:t>
      </w:r>
      <w:proofErr w:type="spellEnd"/>
    </w:p>
    <w:p w:rsidR="006D219F" w:rsidRPr="00FD3F32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K</w:t>
      </w:r>
      <w:r w:rsidRPr="00FD3F32">
        <w:rPr>
          <w:rFonts w:ascii="Times New Roman" w:hAnsi="Times New Roman"/>
          <w:sz w:val="24"/>
          <w:szCs w:val="24"/>
        </w:rPr>
        <w:t>upní smlouvy</w:t>
      </w:r>
    </w:p>
    <w:p w:rsidR="006D219F" w:rsidRPr="00FD3F32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>Geometrický plán č. 1655-22/2016</w:t>
      </w:r>
    </w:p>
    <w:p w:rsidR="006D219F" w:rsidRPr="00FD3F32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>Geometrický plán č. 1666-108/2016</w:t>
      </w:r>
    </w:p>
    <w:p w:rsidR="006D219F" w:rsidRDefault="006D219F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3F32">
        <w:rPr>
          <w:rFonts w:ascii="Times New Roman" w:hAnsi="Times New Roman"/>
          <w:sz w:val="24"/>
          <w:szCs w:val="24"/>
        </w:rPr>
        <w:t xml:space="preserve">Stanovisko </w:t>
      </w:r>
      <w:r w:rsidR="001B07F0">
        <w:rPr>
          <w:rFonts w:ascii="Times New Roman" w:hAnsi="Times New Roman"/>
          <w:sz w:val="24"/>
          <w:szCs w:val="24"/>
        </w:rPr>
        <w:t>B</w:t>
      </w:r>
      <w:r w:rsidRPr="00FD3F32">
        <w:rPr>
          <w:rFonts w:ascii="Times New Roman" w:hAnsi="Times New Roman"/>
          <w:sz w:val="24"/>
          <w:szCs w:val="24"/>
        </w:rPr>
        <w:t>ytového družstva Libuš</w:t>
      </w:r>
    </w:p>
    <w:p w:rsidR="006D219F" w:rsidRDefault="001B07F0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Část </w:t>
      </w:r>
      <w:proofErr w:type="spellStart"/>
      <w:r>
        <w:rPr>
          <w:rFonts w:ascii="Times New Roman" w:hAnsi="Times New Roman"/>
          <w:sz w:val="24"/>
          <w:szCs w:val="24"/>
        </w:rPr>
        <w:t>steno</w:t>
      </w:r>
      <w:proofErr w:type="spellEnd"/>
      <w:r w:rsidR="009A45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záznamu </w:t>
      </w:r>
      <w:r w:rsidR="006D219F">
        <w:rPr>
          <w:rFonts w:ascii="Times New Roman" w:hAnsi="Times New Roman"/>
          <w:sz w:val="24"/>
          <w:szCs w:val="24"/>
        </w:rPr>
        <w:t>z přípravného jednání zastupitelstva ze dne 15.</w:t>
      </w:r>
      <w:r w:rsidR="00E43397">
        <w:rPr>
          <w:rFonts w:ascii="Times New Roman" w:hAnsi="Times New Roman"/>
          <w:sz w:val="24"/>
          <w:szCs w:val="24"/>
        </w:rPr>
        <w:t xml:space="preserve"> </w:t>
      </w:r>
      <w:r w:rsidR="006D219F">
        <w:rPr>
          <w:rFonts w:ascii="Times New Roman" w:hAnsi="Times New Roman"/>
          <w:sz w:val="24"/>
          <w:szCs w:val="24"/>
        </w:rPr>
        <w:t>11.</w:t>
      </w:r>
      <w:r w:rsidR="00E43397">
        <w:rPr>
          <w:rFonts w:ascii="Times New Roman" w:hAnsi="Times New Roman"/>
          <w:sz w:val="24"/>
          <w:szCs w:val="24"/>
        </w:rPr>
        <w:t xml:space="preserve"> </w:t>
      </w:r>
      <w:r w:rsidR="006D219F">
        <w:rPr>
          <w:rFonts w:ascii="Times New Roman" w:hAnsi="Times New Roman"/>
          <w:sz w:val="24"/>
          <w:szCs w:val="24"/>
        </w:rPr>
        <w:t>2021</w:t>
      </w:r>
    </w:p>
    <w:p w:rsidR="00D54CDE" w:rsidRDefault="00D54CDE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Usnesení ZMČ č. 33/2018 a č. 34/2018 ze dne 12. 9. 2018 a č. 10/2020 ze dne 27. 4. 2020</w:t>
      </w:r>
    </w:p>
    <w:p w:rsidR="00E43397" w:rsidRDefault="00E43397" w:rsidP="006D219F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Usnesení RMČ ze dne 3. 1. 2022</w:t>
      </w:r>
    </w:p>
    <w:p w:rsidR="006D219F" w:rsidRDefault="006D219F" w:rsidP="006D219F">
      <w:pPr>
        <w:tabs>
          <w:tab w:val="left" w:pos="426"/>
        </w:tabs>
        <w:jc w:val="both"/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381785F3" wp14:editId="797A9C9B">
                <wp:extent cx="5767070" cy="258445"/>
                <wp:effectExtent l="13970" t="1905" r="1016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2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4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</w:p>
    <w:p w:rsidR="006D219F" w:rsidRPr="00037C5F" w:rsidRDefault="006D219F" w:rsidP="006D219F">
      <w:pPr>
        <w:tabs>
          <w:tab w:val="left" w:pos="426"/>
        </w:tabs>
        <w:jc w:val="both"/>
        <w:rPr>
          <w:b/>
          <w:sz w:val="28"/>
        </w:rPr>
      </w:pPr>
      <w:r w:rsidRPr="00037C5F">
        <w:rPr>
          <w:b/>
          <w:sz w:val="28"/>
        </w:rPr>
        <w:t>Návrh usnesení:</w:t>
      </w:r>
    </w:p>
    <w:p w:rsidR="006D219F" w:rsidRDefault="006D219F" w:rsidP="006D219F">
      <w:pPr>
        <w:tabs>
          <w:tab w:val="left" w:pos="426"/>
        </w:tabs>
        <w:jc w:val="both"/>
        <w:rPr>
          <w:b/>
          <w:bCs/>
          <w:sz w:val="28"/>
          <w:szCs w:val="28"/>
        </w:rPr>
      </w:pPr>
      <w:r>
        <w:rPr>
          <w:b/>
          <w:sz w:val="28"/>
        </w:rPr>
        <w:t>Zastupitelstvo</w:t>
      </w:r>
      <w:r w:rsidRPr="00191A50">
        <w:rPr>
          <w:b/>
          <w:sz w:val="28"/>
          <w:szCs w:val="28"/>
        </w:rPr>
        <w:t xml:space="preserve"> městské části Praha-Libuš</w:t>
      </w:r>
    </w:p>
    <w:p w:rsidR="006D219F" w:rsidRPr="00FD3F32" w:rsidRDefault="006D219F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b</w:t>
      </w:r>
      <w:r w:rsidRPr="00FD3F32">
        <w:rPr>
          <w:rFonts w:ascii="Times New Roman" w:hAnsi="Times New Roman"/>
          <w:b/>
          <w:sz w:val="28"/>
          <w:szCs w:val="28"/>
        </w:rPr>
        <w:t>ere na vědomí</w:t>
      </w:r>
      <w:r w:rsidRPr="00FD3F32">
        <w:rPr>
          <w:rFonts w:ascii="Times New Roman" w:hAnsi="Times New Roman"/>
          <w:sz w:val="28"/>
          <w:szCs w:val="28"/>
        </w:rPr>
        <w:t xml:space="preserve">, že Smlouva o smlouvě budoucí kupní uzavřená mezi Městskou částí Praha-Libuš a Bytovým družstvem Libuš dne 22. 5. 2019 a Kupní smlouva uzavřená mezi Městskou částí Praha-Libuš a Bytovým družstvem Libuš dne 18. 5. 2020 nebudou plněny a realizovány a budou nahrazeny nově uzavřenou </w:t>
      </w:r>
      <w:r>
        <w:rPr>
          <w:rFonts w:ascii="Times New Roman" w:hAnsi="Times New Roman"/>
          <w:sz w:val="28"/>
          <w:szCs w:val="28"/>
        </w:rPr>
        <w:t>K</w:t>
      </w:r>
      <w:r w:rsidRPr="00FD3F32">
        <w:rPr>
          <w:rFonts w:ascii="Times New Roman" w:hAnsi="Times New Roman"/>
          <w:sz w:val="28"/>
          <w:szCs w:val="28"/>
        </w:rPr>
        <w:t>upní smlouvou</w:t>
      </w:r>
      <w:r w:rsidR="00E43397">
        <w:rPr>
          <w:rFonts w:ascii="Times New Roman" w:hAnsi="Times New Roman"/>
          <w:sz w:val="28"/>
          <w:szCs w:val="28"/>
        </w:rPr>
        <w:t>,</w:t>
      </w:r>
    </w:p>
    <w:p w:rsidR="001B07F0" w:rsidRDefault="006D219F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D3F32">
        <w:rPr>
          <w:rFonts w:ascii="Times New Roman" w:hAnsi="Times New Roman"/>
          <w:b/>
          <w:sz w:val="28"/>
          <w:szCs w:val="28"/>
        </w:rPr>
        <w:t>revokuje</w:t>
      </w:r>
      <w:r w:rsidRPr="00FD3F32">
        <w:rPr>
          <w:rFonts w:ascii="Times New Roman" w:hAnsi="Times New Roman"/>
          <w:sz w:val="28"/>
          <w:szCs w:val="28"/>
        </w:rPr>
        <w:t xml:space="preserve"> dřívější usnesení </w:t>
      </w:r>
      <w:r>
        <w:rPr>
          <w:rFonts w:ascii="Times New Roman" w:hAnsi="Times New Roman"/>
          <w:sz w:val="28"/>
          <w:szCs w:val="28"/>
        </w:rPr>
        <w:t>Z</w:t>
      </w:r>
      <w:r w:rsidRPr="00FD3F32">
        <w:rPr>
          <w:rFonts w:ascii="Times New Roman" w:hAnsi="Times New Roman"/>
          <w:sz w:val="28"/>
          <w:szCs w:val="28"/>
        </w:rPr>
        <w:t>astupitelstva Městské části Praha-Libuš</w:t>
      </w:r>
    </w:p>
    <w:p w:rsidR="001B07F0" w:rsidRDefault="001B07F0" w:rsidP="00943B32">
      <w:pPr>
        <w:pStyle w:val="Odstavecseseznamem"/>
        <w:numPr>
          <w:ilvl w:val="1"/>
          <w:numId w:val="6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č. 33/2018 ze dne 12. 9. 2018, kterým byla schválena prodejní cena pozemků </w:t>
      </w:r>
      <w:proofErr w:type="spellStart"/>
      <w:r>
        <w:rPr>
          <w:rFonts w:ascii="Times New Roman" w:hAnsi="Times New Roman"/>
          <w:sz w:val="28"/>
          <w:szCs w:val="28"/>
        </w:rPr>
        <w:t>parc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č.</w:t>
      </w:r>
      <w:proofErr w:type="gramEnd"/>
      <w:r>
        <w:rPr>
          <w:rFonts w:ascii="Times New Roman" w:hAnsi="Times New Roman"/>
          <w:sz w:val="28"/>
          <w:szCs w:val="28"/>
        </w:rPr>
        <w:t xml:space="preserve"> 10/1 o výměře 343 m², definovaný geometrickým plánem č. 1655-22/2016, </w:t>
      </w:r>
      <w:proofErr w:type="spellStart"/>
      <w:r>
        <w:rPr>
          <w:rFonts w:ascii="Times New Roman" w:hAnsi="Times New Roman"/>
          <w:sz w:val="28"/>
          <w:szCs w:val="28"/>
        </w:rPr>
        <w:t>parc</w:t>
      </w:r>
      <w:proofErr w:type="spellEnd"/>
      <w:r>
        <w:rPr>
          <w:rFonts w:ascii="Times New Roman" w:hAnsi="Times New Roman"/>
          <w:sz w:val="28"/>
          <w:szCs w:val="28"/>
        </w:rPr>
        <w:t xml:space="preserve">. č. 12 o výměře 1127 m², definovaný </w:t>
      </w:r>
      <w:r>
        <w:rPr>
          <w:rFonts w:ascii="Times New Roman" w:hAnsi="Times New Roman"/>
          <w:sz w:val="28"/>
          <w:szCs w:val="28"/>
        </w:rPr>
        <w:lastRenderedPageBreak/>
        <w:t xml:space="preserve">geometrickým č. 1666-108/2016, </w:t>
      </w:r>
      <w:proofErr w:type="spellStart"/>
      <w:r>
        <w:rPr>
          <w:rFonts w:ascii="Times New Roman" w:hAnsi="Times New Roman"/>
          <w:sz w:val="28"/>
          <w:szCs w:val="28"/>
        </w:rPr>
        <w:t>parc</w:t>
      </w:r>
      <w:proofErr w:type="spellEnd"/>
      <w:r>
        <w:rPr>
          <w:rFonts w:ascii="Times New Roman" w:hAnsi="Times New Roman"/>
          <w:sz w:val="28"/>
          <w:szCs w:val="28"/>
        </w:rPr>
        <w:t xml:space="preserve">. č. 8/1 o výměře 1699 m², všechny v k. </w:t>
      </w:r>
      <w:proofErr w:type="spellStart"/>
      <w:r>
        <w:rPr>
          <w:rFonts w:ascii="Times New Roman" w:hAnsi="Times New Roman"/>
          <w:sz w:val="28"/>
          <w:szCs w:val="28"/>
        </w:rPr>
        <w:t>ú.</w:t>
      </w:r>
      <w:proofErr w:type="spellEnd"/>
      <w:r>
        <w:rPr>
          <w:rFonts w:ascii="Times New Roman" w:hAnsi="Times New Roman"/>
          <w:sz w:val="28"/>
          <w:szCs w:val="28"/>
        </w:rPr>
        <w:t xml:space="preserve"> Libuš Bytovému družstvu Libuš, se sídlem Libušská 7/185, 142 00 Praha 4 – Libuš, IČO: 26452677 a to dle znaleckého posudku pana Ing. Jana Beneše, ve výši 7.922.500,- Kč, </w:t>
      </w:r>
    </w:p>
    <w:p w:rsidR="001B07F0" w:rsidRDefault="001B07F0" w:rsidP="00943B32">
      <w:pPr>
        <w:pStyle w:val="Odstavecseseznamem"/>
        <w:numPr>
          <w:ilvl w:val="1"/>
          <w:numId w:val="6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č. 34/2018 ze dne 12. 9. 2018, kterým byla schváleno uzavření Smlouvy o smlouvě budoucí kupní s Bytovým družstvem Libuš</w:t>
      </w:r>
    </w:p>
    <w:p w:rsidR="001B07F0" w:rsidRDefault="001B07F0" w:rsidP="00943B32">
      <w:pPr>
        <w:pStyle w:val="Odstavecseseznamem"/>
        <w:numPr>
          <w:ilvl w:val="1"/>
          <w:numId w:val="6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č. 10/2020 ze dne 27. 4. 2020, kterým bylo schváleno uzavření Kupní smlouvy s Bytovým družstvem Libuš</w:t>
      </w:r>
    </w:p>
    <w:p w:rsidR="006D219F" w:rsidRPr="00FD3F32" w:rsidRDefault="006D219F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</w:t>
      </w:r>
      <w:r w:rsidRPr="00FD3F32">
        <w:rPr>
          <w:rFonts w:ascii="Times New Roman" w:hAnsi="Times New Roman"/>
          <w:b/>
          <w:sz w:val="28"/>
          <w:szCs w:val="28"/>
        </w:rPr>
        <w:t xml:space="preserve">ouhlasí </w:t>
      </w:r>
      <w:r w:rsidRPr="00FD3F32">
        <w:rPr>
          <w:rFonts w:ascii="Times New Roman" w:hAnsi="Times New Roman"/>
          <w:sz w:val="28"/>
          <w:szCs w:val="28"/>
        </w:rPr>
        <w:t>s předložením nového záměru prodeje pozemku</w:t>
      </w:r>
      <w:r w:rsidR="00E43397" w:rsidRPr="00E43397">
        <w:rPr>
          <w:sz w:val="28"/>
          <w:szCs w:val="28"/>
        </w:rPr>
        <w:t xml:space="preserve"> </w:t>
      </w:r>
      <w:r w:rsidR="00E43397" w:rsidRPr="00943B32">
        <w:rPr>
          <w:rFonts w:ascii="Times New Roman" w:hAnsi="Times New Roman"/>
          <w:sz w:val="28"/>
          <w:szCs w:val="28"/>
        </w:rPr>
        <w:t>Bytovému družstvu Libuš, se sídlem Libušská 7/185, 142 00</w:t>
      </w:r>
      <w:r w:rsidR="009A456F">
        <w:rPr>
          <w:rFonts w:ascii="Times New Roman" w:hAnsi="Times New Roman"/>
          <w:sz w:val="28"/>
          <w:szCs w:val="28"/>
        </w:rPr>
        <w:t xml:space="preserve"> Praha 4 – Libuš, IČO: 26452677</w:t>
      </w:r>
      <w:r w:rsidRPr="00FD3F32">
        <w:rPr>
          <w:rFonts w:ascii="Times New Roman" w:hAnsi="Times New Roman"/>
          <w:sz w:val="28"/>
          <w:szCs w:val="28"/>
        </w:rPr>
        <w:t>:</w:t>
      </w:r>
    </w:p>
    <w:p w:rsidR="006D219F" w:rsidRPr="00E43397" w:rsidRDefault="006D219F" w:rsidP="00943B32">
      <w:pPr>
        <w:pStyle w:val="Odstavecseseznamem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D3F32">
        <w:rPr>
          <w:rFonts w:ascii="Times New Roman" w:hAnsi="Times New Roman"/>
          <w:sz w:val="28"/>
          <w:szCs w:val="28"/>
        </w:rPr>
        <w:t>parc</w:t>
      </w:r>
      <w:proofErr w:type="spellEnd"/>
      <w:r w:rsidRPr="00FD3F3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D3F32">
        <w:rPr>
          <w:rFonts w:ascii="Times New Roman" w:hAnsi="Times New Roman"/>
          <w:sz w:val="28"/>
          <w:szCs w:val="28"/>
        </w:rPr>
        <w:t>č.</w:t>
      </w:r>
      <w:proofErr w:type="gramEnd"/>
      <w:r w:rsidRPr="00FD3F32">
        <w:rPr>
          <w:rFonts w:ascii="Times New Roman" w:hAnsi="Times New Roman"/>
          <w:sz w:val="28"/>
          <w:szCs w:val="28"/>
        </w:rPr>
        <w:t xml:space="preserve"> 10/1</w:t>
      </w:r>
      <w:r w:rsidRPr="00E43397">
        <w:rPr>
          <w:rFonts w:ascii="Times New Roman" w:hAnsi="Times New Roman"/>
          <w:sz w:val="28"/>
          <w:szCs w:val="28"/>
        </w:rPr>
        <w:t>,</w:t>
      </w:r>
      <w:r w:rsidR="00E43397" w:rsidRPr="00943B32">
        <w:rPr>
          <w:rFonts w:ascii="Times New Roman" w:hAnsi="Times New Roman"/>
          <w:sz w:val="28"/>
          <w:szCs w:val="28"/>
        </w:rPr>
        <w:t xml:space="preserve"> v katastrálním území Libuš</w:t>
      </w:r>
      <w:r w:rsidR="00E43397">
        <w:rPr>
          <w:rFonts w:ascii="Times New Roman" w:hAnsi="Times New Roman"/>
          <w:sz w:val="28"/>
          <w:szCs w:val="28"/>
        </w:rPr>
        <w:t>,</w:t>
      </w:r>
      <w:r w:rsidRPr="00E43397">
        <w:rPr>
          <w:rFonts w:ascii="Times New Roman" w:hAnsi="Times New Roman"/>
          <w:sz w:val="28"/>
          <w:szCs w:val="28"/>
        </w:rPr>
        <w:t xml:space="preserve"> zahrada, o výměře 343 m</w:t>
      </w:r>
      <w:r w:rsidR="00E43397">
        <w:rPr>
          <w:rFonts w:ascii="Times New Roman" w:hAnsi="Times New Roman"/>
          <w:sz w:val="28"/>
          <w:szCs w:val="28"/>
        </w:rPr>
        <w:t>²</w:t>
      </w:r>
      <w:r w:rsidRPr="00E43397">
        <w:rPr>
          <w:rFonts w:ascii="Times New Roman" w:hAnsi="Times New Roman"/>
          <w:sz w:val="28"/>
          <w:szCs w:val="28"/>
        </w:rPr>
        <w:t xml:space="preserve">, definovaného geometrickým plánem č. 1655-22/2016 za kupní cenu ve výši 1.752.730,- Kč stanovenou dle znaleckého posudku Ing. Jana </w:t>
      </w:r>
      <w:proofErr w:type="spellStart"/>
      <w:r w:rsidRPr="00E43397">
        <w:rPr>
          <w:rFonts w:ascii="Times New Roman" w:hAnsi="Times New Roman"/>
          <w:sz w:val="28"/>
          <w:szCs w:val="28"/>
        </w:rPr>
        <w:t>Fujáčka</w:t>
      </w:r>
      <w:proofErr w:type="spellEnd"/>
      <w:r w:rsidRPr="00E43397">
        <w:rPr>
          <w:rFonts w:ascii="Times New Roman" w:hAnsi="Times New Roman"/>
          <w:sz w:val="28"/>
          <w:szCs w:val="28"/>
        </w:rPr>
        <w:t xml:space="preserve"> č. 136/3606/20 ze dne 20. 11. 2020;  </w:t>
      </w:r>
    </w:p>
    <w:p w:rsidR="006D219F" w:rsidRPr="00E43397" w:rsidRDefault="006D219F" w:rsidP="00943B32">
      <w:pPr>
        <w:pStyle w:val="Odstavecseseznamem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397">
        <w:rPr>
          <w:rFonts w:ascii="Times New Roman" w:hAnsi="Times New Roman"/>
          <w:sz w:val="28"/>
          <w:szCs w:val="28"/>
        </w:rPr>
        <w:t>parc</w:t>
      </w:r>
      <w:proofErr w:type="spellEnd"/>
      <w:r w:rsidRPr="00E4339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43397">
        <w:rPr>
          <w:rFonts w:ascii="Times New Roman" w:hAnsi="Times New Roman"/>
          <w:sz w:val="28"/>
          <w:szCs w:val="28"/>
        </w:rPr>
        <w:t>č.</w:t>
      </w:r>
      <w:proofErr w:type="gramEnd"/>
      <w:r w:rsidRPr="00E43397">
        <w:rPr>
          <w:rFonts w:ascii="Times New Roman" w:hAnsi="Times New Roman"/>
          <w:sz w:val="28"/>
          <w:szCs w:val="28"/>
        </w:rPr>
        <w:t xml:space="preserve"> 12,</w:t>
      </w:r>
      <w:r w:rsidR="00E43397" w:rsidRPr="00943B32">
        <w:rPr>
          <w:rFonts w:ascii="Times New Roman" w:hAnsi="Times New Roman"/>
          <w:sz w:val="28"/>
          <w:szCs w:val="28"/>
        </w:rPr>
        <w:t xml:space="preserve"> v katastrálním území Libuš</w:t>
      </w:r>
      <w:r w:rsidR="00E43397">
        <w:rPr>
          <w:rFonts w:ascii="Times New Roman" w:hAnsi="Times New Roman"/>
          <w:sz w:val="28"/>
          <w:szCs w:val="28"/>
        </w:rPr>
        <w:t>,</w:t>
      </w:r>
      <w:r w:rsidRPr="00E43397">
        <w:rPr>
          <w:rFonts w:ascii="Times New Roman" w:hAnsi="Times New Roman"/>
          <w:sz w:val="28"/>
          <w:szCs w:val="28"/>
        </w:rPr>
        <w:t xml:space="preserve"> ostatní plocha – manipulační plocha o výměře 1127 m</w:t>
      </w:r>
      <w:r w:rsidR="00E43397">
        <w:rPr>
          <w:rFonts w:ascii="Times New Roman" w:hAnsi="Times New Roman"/>
          <w:sz w:val="28"/>
          <w:szCs w:val="28"/>
        </w:rPr>
        <w:t>²</w:t>
      </w:r>
      <w:r w:rsidRPr="00E43397">
        <w:rPr>
          <w:rFonts w:ascii="Times New Roman" w:hAnsi="Times New Roman"/>
          <w:sz w:val="28"/>
          <w:szCs w:val="28"/>
        </w:rPr>
        <w:t xml:space="preserve">, definovaného geometrickým plánem č. 1666-108/2016 za kupní cenu ve výši 5.758.970,- Kč, stanovenou dle znaleckého posudku Ing. Jana </w:t>
      </w:r>
      <w:proofErr w:type="spellStart"/>
      <w:r w:rsidRPr="00E43397">
        <w:rPr>
          <w:rFonts w:ascii="Times New Roman" w:hAnsi="Times New Roman"/>
          <w:sz w:val="28"/>
          <w:szCs w:val="28"/>
        </w:rPr>
        <w:t>Fujáčka</w:t>
      </w:r>
      <w:proofErr w:type="spellEnd"/>
      <w:r w:rsidRPr="00E43397">
        <w:rPr>
          <w:rFonts w:ascii="Times New Roman" w:hAnsi="Times New Roman"/>
          <w:sz w:val="28"/>
          <w:szCs w:val="28"/>
        </w:rPr>
        <w:t xml:space="preserve"> č. 136/3606/20 ze dne 20. 11. 2020;</w:t>
      </w:r>
    </w:p>
    <w:p w:rsidR="006D219F" w:rsidRPr="00FD3F32" w:rsidRDefault="006D219F" w:rsidP="00943B32">
      <w:pPr>
        <w:pStyle w:val="Odstavecseseznamem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E43397">
        <w:rPr>
          <w:rFonts w:ascii="Times New Roman" w:hAnsi="Times New Roman"/>
          <w:sz w:val="28"/>
          <w:szCs w:val="28"/>
        </w:rPr>
        <w:t>parc</w:t>
      </w:r>
      <w:proofErr w:type="spellEnd"/>
      <w:r w:rsidRPr="00E4339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43397">
        <w:rPr>
          <w:rFonts w:ascii="Times New Roman" w:hAnsi="Times New Roman"/>
          <w:sz w:val="28"/>
          <w:szCs w:val="28"/>
        </w:rPr>
        <w:t>č.</w:t>
      </w:r>
      <w:proofErr w:type="gramEnd"/>
      <w:r w:rsidRPr="00E43397">
        <w:rPr>
          <w:rFonts w:ascii="Times New Roman" w:hAnsi="Times New Roman"/>
          <w:sz w:val="28"/>
          <w:szCs w:val="28"/>
        </w:rPr>
        <w:t xml:space="preserve"> 8/1, </w:t>
      </w:r>
      <w:r w:rsidR="00E43397" w:rsidRPr="00943B32">
        <w:rPr>
          <w:rFonts w:ascii="Times New Roman" w:hAnsi="Times New Roman"/>
          <w:sz w:val="28"/>
          <w:szCs w:val="28"/>
        </w:rPr>
        <w:t>v katastrálním území Libuš</w:t>
      </w:r>
      <w:r w:rsidR="00E43397">
        <w:rPr>
          <w:rFonts w:ascii="Times New Roman" w:hAnsi="Times New Roman"/>
          <w:sz w:val="28"/>
          <w:szCs w:val="28"/>
        </w:rPr>
        <w:t>,</w:t>
      </w:r>
      <w:r w:rsidR="00E43397" w:rsidRPr="00FD3F32">
        <w:rPr>
          <w:rFonts w:ascii="Times New Roman" w:hAnsi="Times New Roman"/>
          <w:sz w:val="28"/>
          <w:szCs w:val="28"/>
        </w:rPr>
        <w:t xml:space="preserve"> </w:t>
      </w:r>
      <w:r w:rsidRPr="00FD3F32">
        <w:rPr>
          <w:rFonts w:ascii="Times New Roman" w:hAnsi="Times New Roman"/>
          <w:sz w:val="28"/>
          <w:szCs w:val="28"/>
        </w:rPr>
        <w:t>zastavěná plocha a nádvoří o výměře 1699 m</w:t>
      </w:r>
      <w:r w:rsidR="00E43397">
        <w:rPr>
          <w:rFonts w:ascii="Times New Roman" w:hAnsi="Times New Roman"/>
          <w:sz w:val="28"/>
          <w:szCs w:val="28"/>
        </w:rPr>
        <w:t>²</w:t>
      </w:r>
      <w:r w:rsidRPr="00FD3F32">
        <w:rPr>
          <w:rFonts w:ascii="Times New Roman" w:hAnsi="Times New Roman"/>
          <w:sz w:val="28"/>
          <w:szCs w:val="28"/>
        </w:rPr>
        <w:t xml:space="preserve"> za kupní cenu ve výši 8.682.000,- Kč, stanovenou dle znaleckého posudku Ing. Jana </w:t>
      </w:r>
      <w:proofErr w:type="spellStart"/>
      <w:r w:rsidRPr="00FD3F32">
        <w:rPr>
          <w:rFonts w:ascii="Times New Roman" w:hAnsi="Times New Roman"/>
          <w:sz w:val="28"/>
          <w:szCs w:val="28"/>
        </w:rPr>
        <w:t>Fujáčka</w:t>
      </w:r>
      <w:proofErr w:type="spellEnd"/>
      <w:r w:rsidRPr="00FD3F32">
        <w:rPr>
          <w:rFonts w:ascii="Times New Roman" w:hAnsi="Times New Roman"/>
          <w:sz w:val="28"/>
          <w:szCs w:val="28"/>
        </w:rPr>
        <w:t xml:space="preserve"> č. 135/3605/20 ze dne 19. 11. 2020;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D219F" w:rsidRPr="00D54CDE" w:rsidRDefault="006D219F" w:rsidP="00D54CDE">
      <w:pPr>
        <w:ind w:left="1080"/>
        <w:jc w:val="both"/>
        <w:rPr>
          <w:sz w:val="28"/>
          <w:szCs w:val="28"/>
        </w:rPr>
      </w:pPr>
      <w:r w:rsidRPr="00D54CDE">
        <w:rPr>
          <w:sz w:val="28"/>
          <w:szCs w:val="28"/>
        </w:rPr>
        <w:t>a to Radě hlavního města Prahy dle podmínek § 18 vyhlášky č. 55/2000 Sb. hl. města Prahy, kterou se vydává Statut hlavního města Prahy.</w:t>
      </w:r>
    </w:p>
    <w:p w:rsidR="006D219F" w:rsidRPr="00FD3F32" w:rsidRDefault="006D219F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FD3F32">
        <w:rPr>
          <w:rFonts w:ascii="Times New Roman" w:hAnsi="Times New Roman"/>
          <w:b/>
          <w:sz w:val="28"/>
          <w:szCs w:val="28"/>
        </w:rPr>
        <w:t>bere na vědomí</w:t>
      </w:r>
      <w:r w:rsidRPr="00FD3F32">
        <w:rPr>
          <w:rFonts w:ascii="Times New Roman" w:hAnsi="Times New Roman"/>
          <w:sz w:val="28"/>
          <w:szCs w:val="28"/>
        </w:rPr>
        <w:t>, že současně s </w:t>
      </w:r>
      <w:r>
        <w:rPr>
          <w:rFonts w:ascii="Times New Roman" w:hAnsi="Times New Roman"/>
          <w:sz w:val="28"/>
          <w:szCs w:val="28"/>
        </w:rPr>
        <w:t>K</w:t>
      </w:r>
      <w:r w:rsidRPr="00FD3F32">
        <w:rPr>
          <w:rFonts w:ascii="Times New Roman" w:hAnsi="Times New Roman"/>
          <w:sz w:val="28"/>
          <w:szCs w:val="28"/>
        </w:rPr>
        <w:t xml:space="preserve">upní smlouvou bude dle bodu výše současně předložena i </w:t>
      </w:r>
      <w:r>
        <w:rPr>
          <w:rFonts w:ascii="Times New Roman" w:hAnsi="Times New Roman"/>
          <w:sz w:val="28"/>
          <w:szCs w:val="28"/>
        </w:rPr>
        <w:t>Z</w:t>
      </w:r>
      <w:r w:rsidRPr="00FD3F32">
        <w:rPr>
          <w:rFonts w:ascii="Times New Roman" w:hAnsi="Times New Roman"/>
          <w:sz w:val="28"/>
          <w:szCs w:val="28"/>
        </w:rPr>
        <w:t>ástavní smlouva s úvěrující bankou, když předmětem zástavy budou v tomto usnesení definované pozemky a výše zástavou zajištěného úvěru poskytnutého Bytovému družstvu Libuš za účelem koupě těchto pozemků nepřekročí v tomto usnesení uvedenou kupní cenu.</w:t>
      </w:r>
    </w:p>
    <w:p w:rsidR="006D219F" w:rsidRPr="00FD3F32" w:rsidRDefault="001B07F0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schvaluje</w:t>
      </w:r>
      <w:r w:rsidR="006D219F" w:rsidRPr="00FD3F32">
        <w:rPr>
          <w:rFonts w:ascii="Times New Roman" w:hAnsi="Times New Roman"/>
          <w:sz w:val="28"/>
          <w:szCs w:val="28"/>
        </w:rPr>
        <w:t xml:space="preserve"> uveřejnění záměru prodeje pozemků dle tohoto usnesení </w:t>
      </w:r>
      <w:r>
        <w:rPr>
          <w:rFonts w:ascii="Times New Roman" w:hAnsi="Times New Roman"/>
          <w:sz w:val="28"/>
          <w:szCs w:val="28"/>
        </w:rPr>
        <w:t xml:space="preserve">a </w:t>
      </w:r>
      <w:r w:rsidR="006D219F" w:rsidRPr="00FD3F32">
        <w:rPr>
          <w:rFonts w:ascii="Times New Roman" w:hAnsi="Times New Roman"/>
          <w:sz w:val="28"/>
          <w:szCs w:val="28"/>
        </w:rPr>
        <w:t>dle pravidel zákona č. 131/2000 Sb., o hlavním městě Praze, a to po řádném provedení postupu dle § 18 vyhlášky č. 55/2000 Sb. hl. města Prahy, kterou se vydává Statut hlavního města Prahy.</w:t>
      </w:r>
    </w:p>
    <w:p w:rsidR="006D219F" w:rsidRDefault="006D219F" w:rsidP="00943B32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Pr="00FD3F32">
        <w:rPr>
          <w:rFonts w:ascii="Times New Roman" w:hAnsi="Times New Roman"/>
          <w:b/>
          <w:sz w:val="28"/>
          <w:szCs w:val="28"/>
        </w:rPr>
        <w:t>ověřuje</w:t>
      </w:r>
      <w:r w:rsidRPr="00FD3F32">
        <w:rPr>
          <w:rFonts w:ascii="Times New Roman" w:hAnsi="Times New Roman"/>
          <w:sz w:val="28"/>
          <w:szCs w:val="28"/>
        </w:rPr>
        <w:t xml:space="preserve"> pana starostu Mgr. Jiřího Koubka předložením záměru dle předchozích bodů tohoto usnesení Radě hlavního města Prahy dle podmínek vyhlášky č. 55/2000 Sb. hl. města Prahy, kterou se vydává </w:t>
      </w:r>
      <w:r w:rsidRPr="00FD3F32">
        <w:rPr>
          <w:rFonts w:ascii="Times New Roman" w:hAnsi="Times New Roman"/>
          <w:sz w:val="28"/>
          <w:szCs w:val="28"/>
        </w:rPr>
        <w:lastRenderedPageBreak/>
        <w:t>Statut hlavního města Prahy a k provedení souvisejících kroků včetně zajištění uveřejnění záměru prodeje pozemků dle tohoto usnesení na úřední desce Městské části Praha-Libuš dle zákona č. 131/2000 Sb., o hlavním městě Praze.</w:t>
      </w:r>
    </w:p>
    <w:p w:rsidR="006D219F" w:rsidRPr="009A3A17" w:rsidRDefault="006D219F" w:rsidP="009A3A17">
      <w:pPr>
        <w:jc w:val="both"/>
        <w:rPr>
          <w:sz w:val="28"/>
          <w:szCs w:val="28"/>
        </w:rPr>
      </w:pPr>
      <w:r w:rsidRPr="009A3A17">
        <w:rPr>
          <w:b/>
          <w:sz w:val="28"/>
          <w:szCs w:val="28"/>
        </w:rPr>
        <w:t>_______________________________________________________________</w:t>
      </w:r>
    </w:p>
    <w:p w:rsidR="006D219F" w:rsidRDefault="006D219F" w:rsidP="006D219F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F70E98" w:rsidRDefault="00F70E98" w:rsidP="00F70E98">
      <w:pPr>
        <w:pStyle w:val="Odstavecseseznamem"/>
        <w:rPr>
          <w:rFonts w:ascii="Times New Roman" w:hAnsi="Times New Roman"/>
          <w:b/>
          <w:sz w:val="24"/>
          <w:szCs w:val="24"/>
        </w:rPr>
      </w:pPr>
      <w:r w:rsidRPr="00FD3F32">
        <w:rPr>
          <w:rFonts w:ascii="Times New Roman" w:hAnsi="Times New Roman"/>
          <w:b/>
          <w:sz w:val="24"/>
          <w:szCs w:val="24"/>
        </w:rPr>
        <w:t>Důvodová zpráva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F70E98" w:rsidRPr="008D3278" w:rsidRDefault="00F70E98" w:rsidP="00F70E98">
      <w:pPr>
        <w:pStyle w:val="Nadpis1"/>
        <w:numPr>
          <w:ilvl w:val="0"/>
          <w:numId w:val="7"/>
        </w:numPr>
        <w:autoSpaceDE w:val="0"/>
        <w:autoSpaceDN w:val="0"/>
        <w:spacing w:before="120" w:after="120" w:line="276" w:lineRule="auto"/>
        <w:ind w:left="432" w:hanging="432"/>
        <w:rPr>
          <w:b/>
          <w:bCs/>
          <w:smallCaps/>
          <w:color w:val="000000" w:themeColor="text1"/>
          <w:szCs w:val="24"/>
        </w:rPr>
      </w:pPr>
      <w:r w:rsidRPr="008D3278">
        <w:rPr>
          <w:b/>
          <w:bCs/>
          <w:smallCaps/>
          <w:color w:val="000000" w:themeColor="text1"/>
          <w:szCs w:val="24"/>
        </w:rPr>
        <w:t>KOMPLEXNÍ SHRNUTÍ OKOLNOSTÍ PŘÍPADU</w:t>
      </w:r>
    </w:p>
    <w:p w:rsidR="00F70E98" w:rsidRPr="008D3278" w:rsidRDefault="00F70E98" w:rsidP="00F70E98">
      <w:pPr>
        <w:jc w:val="both"/>
        <w:rPr>
          <w:sz w:val="22"/>
          <w:szCs w:val="22"/>
        </w:rPr>
      </w:pP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Městská část Praha-Libuš (dále jen „</w:t>
      </w:r>
      <w:r w:rsidRPr="008D3278">
        <w:rPr>
          <w:b/>
          <w:szCs w:val="22"/>
        </w:rPr>
        <w:t>Městská část</w:t>
      </w:r>
      <w:r w:rsidRPr="008D3278">
        <w:rPr>
          <w:szCs w:val="22"/>
        </w:rPr>
        <w:t xml:space="preserve">“) má svěřený ve správě zastavěný pozemek </w:t>
      </w:r>
      <w:proofErr w:type="spellStart"/>
      <w:r w:rsidRPr="008D3278">
        <w:rPr>
          <w:szCs w:val="22"/>
        </w:rPr>
        <w:t>parc</w:t>
      </w:r>
      <w:proofErr w:type="spellEnd"/>
      <w:r w:rsidRPr="008D3278">
        <w:rPr>
          <w:szCs w:val="22"/>
        </w:rPr>
        <w:t xml:space="preserve">. </w:t>
      </w:r>
      <w:proofErr w:type="gramStart"/>
      <w:r w:rsidRPr="008D3278">
        <w:rPr>
          <w:szCs w:val="22"/>
        </w:rPr>
        <w:t>č.</w:t>
      </w:r>
      <w:proofErr w:type="gramEnd"/>
      <w:r w:rsidRPr="008D3278">
        <w:rPr>
          <w:szCs w:val="22"/>
        </w:rPr>
        <w:t xml:space="preserve"> 8/1 (dále jen „</w:t>
      </w:r>
      <w:r w:rsidRPr="008D3278">
        <w:rPr>
          <w:b/>
          <w:szCs w:val="22"/>
        </w:rPr>
        <w:t>Zastavěný pozemek</w:t>
      </w:r>
      <w:r w:rsidRPr="008D3278">
        <w:rPr>
          <w:szCs w:val="22"/>
        </w:rPr>
        <w:t xml:space="preserve">“), dále pak pozemek </w:t>
      </w:r>
      <w:proofErr w:type="spellStart"/>
      <w:r w:rsidRPr="008D3278">
        <w:rPr>
          <w:szCs w:val="22"/>
        </w:rPr>
        <w:t>parc</w:t>
      </w:r>
      <w:proofErr w:type="spellEnd"/>
      <w:r w:rsidRPr="008D3278">
        <w:rPr>
          <w:szCs w:val="22"/>
        </w:rPr>
        <w:t xml:space="preserve">. č. 10/1 vymezený geometrickým plánem, tj. část pozemku dle aktuálního zápisu v katastru nemovitostí </w:t>
      </w:r>
      <w:proofErr w:type="spellStart"/>
      <w:r w:rsidRPr="008D3278">
        <w:rPr>
          <w:szCs w:val="22"/>
        </w:rPr>
        <w:t>parc</w:t>
      </w:r>
      <w:proofErr w:type="spellEnd"/>
      <w:r w:rsidRPr="008D3278">
        <w:rPr>
          <w:szCs w:val="22"/>
        </w:rPr>
        <w:t>. č. 10 (dále jen „</w:t>
      </w:r>
      <w:r w:rsidRPr="008D3278">
        <w:rPr>
          <w:b/>
          <w:szCs w:val="22"/>
        </w:rPr>
        <w:t>Druhý pozemek</w:t>
      </w:r>
      <w:r w:rsidRPr="008D3278">
        <w:rPr>
          <w:szCs w:val="22"/>
        </w:rPr>
        <w:t>“) a parcelu č. 12 rovněž vymezenou geometrickým plánem (dále jen „</w:t>
      </w:r>
      <w:r w:rsidRPr="008D3278">
        <w:rPr>
          <w:b/>
          <w:szCs w:val="22"/>
        </w:rPr>
        <w:t>Třetí pozemek</w:t>
      </w:r>
      <w:r w:rsidRPr="008D3278">
        <w:rPr>
          <w:szCs w:val="22"/>
        </w:rPr>
        <w:t>“) (dále vše společně jen „</w:t>
      </w:r>
      <w:r w:rsidRPr="008D3278">
        <w:rPr>
          <w:b/>
          <w:szCs w:val="22"/>
        </w:rPr>
        <w:t>Pozemk</w:t>
      </w:r>
      <w:r w:rsidRPr="008D3278">
        <w:rPr>
          <w:szCs w:val="22"/>
        </w:rPr>
        <w:t xml:space="preserve">y“). 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Městská část má svěřený ve správě i spoluvlastnický podíl na budově, bytovém domu, č. p. 7 (dále jen „</w:t>
      </w:r>
      <w:r w:rsidRPr="008D3278">
        <w:rPr>
          <w:b/>
          <w:szCs w:val="22"/>
        </w:rPr>
        <w:t>Budova</w:t>
      </w:r>
      <w:r w:rsidRPr="008D3278">
        <w:rPr>
          <w:szCs w:val="22"/>
        </w:rPr>
        <w:t>“), která se nachází na Zastavěném pozemku. Budova i Pozemky se nacházejí v katastrálním území Libuš. Velikost podílu Městské části na Budově činí 51% (dále jen „</w:t>
      </w:r>
      <w:r w:rsidRPr="008D3278">
        <w:rPr>
          <w:b/>
          <w:szCs w:val="22"/>
        </w:rPr>
        <w:t>Podíl na budově</w:t>
      </w:r>
      <w:r w:rsidRPr="008D3278">
        <w:rPr>
          <w:szCs w:val="22"/>
        </w:rPr>
        <w:t>“), zbývající podíl o velikosti 49% náleží Bytovému družstvu Libuš (dále jen „</w:t>
      </w:r>
      <w:r w:rsidRPr="008D3278">
        <w:rPr>
          <w:b/>
          <w:szCs w:val="22"/>
        </w:rPr>
        <w:t>Družstvo</w:t>
      </w:r>
      <w:r w:rsidRPr="008D3278">
        <w:rPr>
          <w:szCs w:val="22"/>
        </w:rPr>
        <w:t>“).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Pozemky a Podíl na budově (dále jen „</w:t>
      </w:r>
      <w:r w:rsidRPr="008D3278">
        <w:rPr>
          <w:b/>
          <w:szCs w:val="22"/>
        </w:rPr>
        <w:t>Majetek</w:t>
      </w:r>
      <w:r w:rsidRPr="008D3278">
        <w:rPr>
          <w:szCs w:val="22"/>
        </w:rPr>
        <w:t>“) jsou ve správě Městské části, a to na základě zák. č. 131/200 Sb., o hlavním městě Praze (dále jen „</w:t>
      </w:r>
      <w:r w:rsidRPr="008D3278">
        <w:rPr>
          <w:b/>
          <w:szCs w:val="22"/>
        </w:rPr>
        <w:t>Zákon o HMP</w:t>
      </w:r>
      <w:r w:rsidRPr="008D3278">
        <w:rPr>
          <w:szCs w:val="22"/>
        </w:rPr>
        <w:t>“), přičemž vlastníkem Majetku je Hlavní město Praha (dále jen „</w:t>
      </w:r>
      <w:r w:rsidRPr="008D3278">
        <w:rPr>
          <w:b/>
          <w:szCs w:val="22"/>
        </w:rPr>
        <w:t>HMP</w:t>
      </w:r>
      <w:r w:rsidRPr="008D3278">
        <w:rPr>
          <w:szCs w:val="22"/>
        </w:rPr>
        <w:t>“). Pro nakládání s majetkem svěřeným Městské části je třeba zohlednit podmínky vyhlášky č. 55/2000 Sb. hl. města Prahy, kterou se vydává Statut hlavního města Prahy (dále jen „</w:t>
      </w:r>
      <w:r w:rsidRPr="008D3278">
        <w:rPr>
          <w:b/>
          <w:szCs w:val="22"/>
        </w:rPr>
        <w:t>Statut</w:t>
      </w:r>
      <w:r w:rsidRPr="008D3278">
        <w:rPr>
          <w:szCs w:val="22"/>
        </w:rPr>
        <w:t xml:space="preserve">“).  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S ohledem na přechodná ustanovení je třeba na problematiku nahlížet i optikou zásad soukromého práva, které jsou obsaženy v HLAVĚ I zák. č. 89/2012 Sb., občanský zákoník (dále jen „</w:t>
      </w:r>
      <w:r w:rsidRPr="008D3278">
        <w:rPr>
          <w:b/>
          <w:szCs w:val="22"/>
        </w:rPr>
        <w:t>Občanský zákoník</w:t>
      </w:r>
      <w:r w:rsidRPr="008D3278">
        <w:rPr>
          <w:szCs w:val="22"/>
        </w:rPr>
        <w:t xml:space="preserve">“). 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Výstavba Budovy byla spolufinancována ze zdrojů Státního fondu rozvoje bydlení, a to ve výši 15,5 mil. Kč. (dále jen „</w:t>
      </w:r>
      <w:r w:rsidRPr="008D3278">
        <w:rPr>
          <w:b/>
          <w:szCs w:val="22"/>
        </w:rPr>
        <w:t>Dotace</w:t>
      </w:r>
      <w:r w:rsidRPr="008D3278">
        <w:rPr>
          <w:szCs w:val="22"/>
        </w:rPr>
        <w:t>“), přičemž příjemcem Dotace byla (dle uzavřených smluv) pouze HMP. Zbývající náklady na výstavbu Budovy, ve výši 62,66 mil. Kč, jakožto i další náklady (např. na projektovou dokumentaci, dosavadní náklady na správu, pojištění, opravy a provoz, atp.) poskytlo či hradí Družstvo.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Na základě níže definované Smlouvy o sdružení Městská část a Družstvo založili sdružení, jehož cílem byla výstavba výše definované Budovy a pozdější převod Zastavěného pozemku a Podílu na budově na Družstvo (dále jen „</w:t>
      </w:r>
      <w:r w:rsidRPr="008D3278">
        <w:rPr>
          <w:b/>
          <w:szCs w:val="22"/>
        </w:rPr>
        <w:t>Sdružení</w:t>
      </w:r>
      <w:r w:rsidRPr="008D3278">
        <w:rPr>
          <w:szCs w:val="22"/>
        </w:rPr>
        <w:t xml:space="preserve">“). 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V souvislosti s výše popsanými skutečnostmi došlo k uzavření těchto smluv: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Smlouva o sdružení mezi Městskou částí a Družstvem z roku 2005 (dále jen „</w:t>
      </w:r>
      <w:r w:rsidRPr="008D3278">
        <w:rPr>
          <w:rFonts w:ascii="Times New Roman" w:hAnsi="Times New Roman"/>
          <w:b/>
        </w:rPr>
        <w:t>Smlouva o sdružení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Dohoda o ukončení a vyúčtování výstavby bytového domu č. p. 7 v Praze Libuši mezi Městskou částí a Družstvem z roku 2014 (dále jen „</w:t>
      </w:r>
      <w:r w:rsidRPr="008D3278">
        <w:rPr>
          <w:rFonts w:ascii="Times New Roman" w:hAnsi="Times New Roman"/>
          <w:b/>
        </w:rPr>
        <w:t>Dohoda k ukončení výstavby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Dohoda o rozpuštění sdružení a o vypořádání majetku sdružení mezi Městskou částí a Družstvem z roku 2018 (dále jen „</w:t>
      </w:r>
      <w:r w:rsidRPr="008D3278">
        <w:rPr>
          <w:rFonts w:ascii="Times New Roman" w:hAnsi="Times New Roman"/>
          <w:b/>
        </w:rPr>
        <w:t>Dohoda o rozpuštění sdružení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Smlouva o budoucí smlouvě kupní mezi Městskou částí a Družstvem z roku 2019 (dále jen „</w:t>
      </w:r>
      <w:r w:rsidRPr="008D3278">
        <w:rPr>
          <w:rFonts w:ascii="Times New Roman" w:hAnsi="Times New Roman"/>
          <w:b/>
        </w:rPr>
        <w:t>Smlouva o smlouvě budoucí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Kupní smlouva mezi Městskou částí a Družstvem z roku 2020 (dále jen „</w:t>
      </w:r>
      <w:r w:rsidRPr="008D3278">
        <w:rPr>
          <w:rFonts w:ascii="Times New Roman" w:hAnsi="Times New Roman"/>
          <w:b/>
        </w:rPr>
        <w:t>Kupní smlouva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lastRenderedPageBreak/>
        <w:t>Smlouva o poskytnutí dotace z prostředků Státního fondu rozvoje bydlení na výstavbu nájemních bytů v obcích mezi Státním fondem rozvoje bydlení (dále jen „</w:t>
      </w:r>
      <w:r w:rsidRPr="008D3278">
        <w:rPr>
          <w:rFonts w:ascii="Times New Roman" w:hAnsi="Times New Roman"/>
          <w:b/>
        </w:rPr>
        <w:t>Fond</w:t>
      </w:r>
      <w:r w:rsidRPr="008D3278">
        <w:rPr>
          <w:rFonts w:ascii="Times New Roman" w:hAnsi="Times New Roman"/>
        </w:rPr>
        <w:t>“) a HMP z roku 2004 (dále jen „</w:t>
      </w:r>
      <w:r w:rsidRPr="008D3278">
        <w:rPr>
          <w:rFonts w:ascii="Times New Roman" w:hAnsi="Times New Roman"/>
          <w:b/>
        </w:rPr>
        <w:t>Dotační smlouva</w:t>
      </w:r>
      <w:r w:rsidRPr="008D3278">
        <w:rPr>
          <w:rFonts w:ascii="Times New Roman" w:hAnsi="Times New Roman"/>
        </w:rPr>
        <w:t>“),</w:t>
      </w:r>
    </w:p>
    <w:p w:rsidR="00F70E98" w:rsidRPr="008D3278" w:rsidRDefault="00F70E98" w:rsidP="00F70E98">
      <w:pPr>
        <w:pStyle w:val="Odstavecseseznamem"/>
        <w:numPr>
          <w:ilvl w:val="0"/>
          <w:numId w:val="8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Smlouva o zajištění plnění podmínek vyplývajících z Dotační smlouvy mezi HMP a Městskou částí z roku 2004 včetně dodatku č. 1 (dále jen „</w:t>
      </w:r>
      <w:r w:rsidRPr="008D3278">
        <w:rPr>
          <w:rFonts w:ascii="Times New Roman" w:hAnsi="Times New Roman"/>
          <w:b/>
        </w:rPr>
        <w:t>Smlouva o zajištění</w:t>
      </w:r>
      <w:r w:rsidRPr="008D3278">
        <w:rPr>
          <w:rFonts w:ascii="Times New Roman" w:hAnsi="Times New Roman"/>
        </w:rPr>
        <w:t>“), (dále vše společně jen „</w:t>
      </w:r>
      <w:r w:rsidRPr="008D3278">
        <w:rPr>
          <w:rFonts w:ascii="Times New Roman" w:hAnsi="Times New Roman"/>
          <w:b/>
        </w:rPr>
        <w:t>Smlouvy</w:t>
      </w:r>
      <w:r w:rsidRPr="008D3278">
        <w:rPr>
          <w:rFonts w:ascii="Times New Roman" w:hAnsi="Times New Roman"/>
        </w:rPr>
        <w:t>“).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Dle Smlouvy o sdružení mělo dojít k převodu Pozemků a vypořádání spoluvlastnického práva k Budově tak, že 100% vlastníkem obou bude Družstvo. Dle Kupní smlouvy mělo dojít k převodu Pozemků na Družstvo, avšak realizace záměru byla zablokována na úrovni HMP, které se mělo vyjádřit k návrhu na vklad do katastru nemovitostí a transakci blokuje, jelikož záměr nebyl dostatečně odůvodněn (tj. neobsahoval dle HMP veškeré nezbytné náležitosti a vysvětlení) a nebyl předložen před jeho realizací Radě HMP k vyjádření dle podmínek Statutu. Složená kupní cena byla ze strany Městské části vrácena na účet Družstva. Městská část v současné době i nadále zvažuje převod Pozemků a Podílu na budově na Družstvo. O převod má Družstvo i nadále zájem.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 xml:space="preserve">Dle analýzy společnosti HKR advokátní kancelář, s.r.o. jsou Smlouva o sdružení a ostatní z výše definovaných smluv potenciálně neplatné, tedy zejména Smlouva o smlouvě budoucí a Kupní smlouva, a to absolutně. Na základě těchto Smluv není možné bez právních rizik převod Podílu na budově ani převod Pozemků realizovat. 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Současný právní vztah, práva a povinnosti Městské části a Družstva představují spletitý, složitý a obtížně právně definovatelný soubor právních vztahů, který vnáší do postavení Městské části a HMP a současně i Družstva a družstevníků značný prvek právní, ale i sociální nejistoty. Situace je v tomto ohledu obdobná, jako v případě statutárního města Liberce, Olomouce, města Říčany či Neratovic.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Vhodným řešením problematiky je uzavření smluv nových, které původní potenciálně neplatné smlouvy nahradí a právní vztahy mezi Městskou částí a Družstvem s konečnou platností narovnají tak, aby byly do budoucna veškeré sporné otázky vyřešeny bez možnosti soudního řešení věci. Konkrétně tedy smlouvy, která bude upravovat vypořádání vlastnického práva k Budově a převod Podílu na budově na Družstvo a kupní smlouvy, jejímž předmětem bude převod vlastnického práva k Pozemkům na Družstvo.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 xml:space="preserve">K listopadu 2020 Městská část zajistila zpracování znaleckých posudků, a to k ocenění Pozemků v ceně v čase a místě obvyklé. Všechny posudky zpracoval znalec Ing. Jan </w:t>
      </w:r>
      <w:proofErr w:type="spellStart"/>
      <w:r w:rsidRPr="008D3278">
        <w:rPr>
          <w:szCs w:val="22"/>
        </w:rPr>
        <w:t>Fujáček</w:t>
      </w:r>
      <w:proofErr w:type="spellEnd"/>
      <w:r w:rsidRPr="008D3278">
        <w:rPr>
          <w:szCs w:val="22"/>
        </w:rPr>
        <w:t>. Dle posudku č. 135/3605/20 ze dne 19. 11. 2020 je cena Zastavěného pozemku stanovena ve výši 8.682.000,- Kč (dále jen „</w:t>
      </w:r>
      <w:r w:rsidRPr="008D3278">
        <w:rPr>
          <w:b/>
          <w:szCs w:val="22"/>
        </w:rPr>
        <w:t>Posudek k zastavěnému pozemku</w:t>
      </w:r>
      <w:r w:rsidRPr="008D3278">
        <w:rPr>
          <w:szCs w:val="22"/>
        </w:rPr>
        <w:t>“). Dle posudku č. 136/3606/20 ze dne 20. 11. 2020 je cena Druhého a Třetího pozemku stanovena dohromady ve výši 7.512.000,- Kč (dále jen „</w:t>
      </w:r>
      <w:r w:rsidRPr="008D3278">
        <w:rPr>
          <w:b/>
          <w:szCs w:val="22"/>
        </w:rPr>
        <w:t>Posudek ke druhému a třetímu pozemku</w:t>
      </w:r>
      <w:r w:rsidRPr="008D3278">
        <w:rPr>
          <w:szCs w:val="22"/>
        </w:rPr>
        <w:t>“). Posudky k výše uvedeným pozemkům jsou pak dále definovány jen jako „</w:t>
      </w:r>
      <w:r w:rsidRPr="008D3278">
        <w:rPr>
          <w:b/>
          <w:szCs w:val="22"/>
        </w:rPr>
        <w:t>Posudky</w:t>
      </w:r>
      <w:r w:rsidRPr="008D3278">
        <w:rPr>
          <w:szCs w:val="22"/>
        </w:rPr>
        <w:t>“.</w:t>
      </w:r>
    </w:p>
    <w:p w:rsidR="00F70E98" w:rsidRPr="008D3278" w:rsidRDefault="00F70E98" w:rsidP="00F70E98">
      <w:pPr>
        <w:ind w:firstLine="708"/>
        <w:jc w:val="both"/>
        <w:rPr>
          <w:szCs w:val="22"/>
        </w:rPr>
      </w:pPr>
      <w:r w:rsidRPr="008D3278">
        <w:rPr>
          <w:szCs w:val="22"/>
        </w:rPr>
        <w:t>V rámci předkládaného návrhu je uvažováno s řešením převodu vlastnického práva k Pozemkům na Družstvo, a to dle podmínek nově navržené kupní smlouvy (dále jen „</w:t>
      </w:r>
      <w:r w:rsidRPr="008D3278">
        <w:rPr>
          <w:b/>
          <w:szCs w:val="22"/>
        </w:rPr>
        <w:t>Nová kupní smlouva</w:t>
      </w:r>
      <w:r w:rsidRPr="008D3278">
        <w:rPr>
          <w:szCs w:val="22"/>
        </w:rPr>
        <w:t>“).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Záměr prodeje je od uzavření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>konzultován na pravidelné bázi mezi Městkou částí a Družstvem a od roku 2020 s advokátní kanceláří HKR advokátní kancelář, s.r.o. a s pracovníky magistrátu HMP.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Magistrát HMP je do procesu přípravy Nové kupní smlouvy začleněn v podobě konzultací již nyní z důvodu, že dle § 18 Statutu, bude Městská část povinna předložit záměr prodeje Pozemků Radě HMP. Bez tohoto předložení nebude možné navržený záměr realizovat a Novou kupní smlouvu uzavřít.</w:t>
      </w:r>
    </w:p>
    <w:p w:rsidR="00F70E98" w:rsidRPr="008D3278" w:rsidRDefault="00F70E98" w:rsidP="00F70E98">
      <w:pPr>
        <w:pStyle w:val="Nadpis1"/>
        <w:numPr>
          <w:ilvl w:val="0"/>
          <w:numId w:val="7"/>
        </w:numPr>
        <w:autoSpaceDE w:val="0"/>
        <w:autoSpaceDN w:val="0"/>
        <w:spacing w:before="120" w:after="120" w:line="276" w:lineRule="auto"/>
        <w:ind w:left="432" w:hanging="432"/>
        <w:rPr>
          <w:b/>
          <w:bCs/>
          <w:smallCaps/>
          <w:color w:val="000000" w:themeColor="text1"/>
        </w:rPr>
      </w:pPr>
      <w:r w:rsidRPr="008D3278">
        <w:rPr>
          <w:b/>
          <w:bCs/>
          <w:smallCaps/>
          <w:color w:val="000000" w:themeColor="text1"/>
        </w:rPr>
        <w:lastRenderedPageBreak/>
        <w:t>Popis návrhu navrženého postupu a převodu Pozemků</w:t>
      </w:r>
    </w:p>
    <w:p w:rsidR="00F70E98" w:rsidRPr="008D3278" w:rsidRDefault="00F70E98" w:rsidP="00F70E98">
      <w:pPr>
        <w:pStyle w:val="Odstavecseseznamem"/>
        <w:ind w:left="0" w:firstLine="720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 xml:space="preserve">Cílem navrženého usnesení není odsouhlasení uzavření Nové kupní smlouvy ve smyslu § 89 odst. 2 písm. d) Zákona o HMP. Uzavření Nové kupní smlouvy bude </w:t>
      </w:r>
      <w:r>
        <w:rPr>
          <w:rFonts w:ascii="Times New Roman" w:hAnsi="Times New Roman"/>
        </w:rPr>
        <w:t>z</w:t>
      </w:r>
      <w:r w:rsidRPr="008D3278">
        <w:rPr>
          <w:rFonts w:ascii="Times New Roman" w:hAnsi="Times New Roman"/>
        </w:rPr>
        <w:t xml:space="preserve">astupitelstvu Městské části řádně předloženo znovu po získání stanoviska orgánů HMP dle podmínek Statutu a řádném uveřejnění záměru. </w:t>
      </w:r>
    </w:p>
    <w:p w:rsidR="00F70E98" w:rsidRPr="008D3278" w:rsidRDefault="00F70E98" w:rsidP="00F70E98">
      <w:pPr>
        <w:pStyle w:val="Odstavecseseznamem"/>
        <w:ind w:left="0" w:firstLine="720"/>
        <w:jc w:val="both"/>
        <w:rPr>
          <w:rFonts w:ascii="Times New Roman" w:hAnsi="Times New Roman"/>
          <w:b/>
        </w:rPr>
      </w:pPr>
      <w:r w:rsidRPr="008D3278">
        <w:rPr>
          <w:rFonts w:ascii="Times New Roman" w:hAnsi="Times New Roman"/>
          <w:b/>
        </w:rPr>
        <w:t>Cílem předkládaného návrhu je primárně odsouhlasení kroků a dalšího postupu Městské části, a to konkrétně potvrzení návrhu Nové kupní smlouvy, která obsahuje i dohodu o narovnání, odsouhlasení navržené kupní ceny a odsouhlasení postupu spočívajícím v předložení záměru radě HMP dle podmínek Statutu a uveřejnění záměru prodeje Pozemků dle Zákona o HMP.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Městská část ve vztahu k Pozemkům konkrétně navrhuje uzavřít s Družstvem Novou kupní smlouvu, jejímž předmětem by byl převod vlastnického práva k Pozemkům a narovnání vzájemných vztahů, sporných práv a povinností, která vyplývají z potenciálně neplatných smluv uzavřených mezi Městskou částí a Družstvem (Kupní smlouva a Smlouva o smlouvě budoucí</w:t>
      </w:r>
      <w:r>
        <w:rPr>
          <w:szCs w:val="22"/>
        </w:rPr>
        <w:t xml:space="preserve"> kupní</w:t>
      </w:r>
      <w:r w:rsidRPr="008D3278">
        <w:rPr>
          <w:szCs w:val="22"/>
        </w:rPr>
        <w:t>). Uzavřená kupní smlouva by mezi smluvními stranami vylučovala nárok na náhradu vzniklé škody ze strany Družstva.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Městská část takto navrhuje postupovat z důvodu vytvoření právní jistoty na straně Městské části a Družstva a  s cílem vyřešení všech sporných či nejasných právních vztahů mezi Městskou částí a Družstvem.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Tento postup je navrhován i proto, že otázku platnosti či absolutní neplatnosti posuzovaných smluv může posoudit pouze soud, když soudní řízení může trvat nepředvídatelně dlouhou dobu a výsledek řízení je, z hlediska specifik vztahu mezi Městskou částí a Družstvem, nejistý.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Převod Pozemků je koncipován jako úplatný. Kupní cena pozemků je navržena jako cena v čase a místě obvyklá, a to k listopadu roku 2020. 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Převod Pozemků je navržen jako převod mezi Městskou částí a Družstvem, přičemž mezi těmito smluvními stranami jsou stanoveny konkrétní podmínky převodu a kontrolní mechanismy.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Spolu s Novou kupní smlouvou dojde k uzavření zástavní smlouvy mezi Městkou částí, Družstvem a úvěrující bankou. Předmětem zástavní smlouvy bude zastavení Pozemků ve prospěch úvěrující banky ze strany Městské části. Jde však pouze o formální krok, jelikož vlastníkem Pozemků se po podání návrhu k příslušnému katastrálnímu úřadu a zápisu změny vlastnického práva stane Družstvo. Doba zastavení majetku HMP, resp. Městské části tak bude pouze omezená a jde o opatření přechodné. Zástavní smlouva bude obsahovat ustanovení, kdy v případě </w:t>
      </w:r>
      <w:proofErr w:type="spellStart"/>
      <w:r w:rsidRPr="008D3278">
        <w:rPr>
          <w:szCs w:val="22"/>
        </w:rPr>
        <w:t>nerealizace</w:t>
      </w:r>
      <w:proofErr w:type="spellEnd"/>
      <w:r w:rsidRPr="008D3278">
        <w:rPr>
          <w:szCs w:val="22"/>
        </w:rPr>
        <w:t xml:space="preserve"> prodeje dle Nové kupní smlouvy dojde ke zrušení zástavního práva. Návrh popisovaného záměru pak bude předložen Radě HMP dle podmínek Statutu včetně úplné textace zástavní smlouvy. 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Pokud dojde k převodu vlastnického práva k Pozemkům dříve, než ke sjednocení vlastnického práva Družstva k Budově jako celku, je v rámci Nové kupní smlouvy navržena taková úprava, že nebude Městská část povinna hradit Družstvu po stanovenou dobu jakékoliv platby v souvislosti s umístěním Budovy spoluvlastněné Městskou částí na Zastavěném pozemku ani náklady na péči o Pozemky a jejich údržbu.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Rozdělení řešení problematiky ve dvou fázích, tedy na fázi týkající se převodu Pozemků a na fázi převodu Podílu na budově je navrženo z důvodu, že první fáze je fází administrativně a právně méně náročnou a fází, která nevyžaduje předchozí konzultace s Úřadem pro ochranu hospodářské soutěže.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Přednostní vyřešení převodu Pozemků před převodem Podílu na budově nepřináší do komplexního řešení problematiky a pro dodatečný a pozdější převod Podílu na budově </w:t>
      </w:r>
      <w:r w:rsidRPr="008D3278">
        <w:rPr>
          <w:szCs w:val="22"/>
        </w:rPr>
        <w:lastRenderedPageBreak/>
        <w:t>překážky. Oddělené řešení problematiky ve dvou fázích nepředstavuje pro Městkou část riziko. Ba naopak, vnese do nyní nejistých vztahů obou stran prvek jistoty.</w:t>
      </w:r>
    </w:p>
    <w:p w:rsidR="00F70E98" w:rsidRPr="008D3278" w:rsidRDefault="00F70E98" w:rsidP="00F70E98">
      <w:pPr>
        <w:jc w:val="both"/>
        <w:rPr>
          <w:sz w:val="28"/>
          <w:szCs w:val="28"/>
        </w:rPr>
      </w:pPr>
    </w:p>
    <w:p w:rsidR="00F70E98" w:rsidRPr="008D3278" w:rsidRDefault="00F70E98" w:rsidP="00F70E98">
      <w:pPr>
        <w:pStyle w:val="Nadpis1"/>
        <w:numPr>
          <w:ilvl w:val="0"/>
          <w:numId w:val="7"/>
        </w:numPr>
        <w:autoSpaceDE w:val="0"/>
        <w:autoSpaceDN w:val="0"/>
        <w:spacing w:before="120" w:after="120" w:line="276" w:lineRule="auto"/>
        <w:rPr>
          <w:b/>
          <w:bCs/>
          <w:sz w:val="28"/>
          <w:szCs w:val="28"/>
        </w:rPr>
      </w:pPr>
      <w:r w:rsidRPr="008D3278">
        <w:rPr>
          <w:b/>
          <w:bCs/>
          <w:smallCaps/>
          <w:color w:val="000000" w:themeColor="text1"/>
        </w:rPr>
        <w:t>Odůvodnění převodu Pozemků dle Nové kupní smlouvy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V této části jsou popsány jednak obecné předpoklady a důvody uzavření Nové kupní smlouvy mezi Městskou částí a Družstvem, která by zajistila vypořádání vlastnických práv k Pozemkům a současně narovnání vzájemných sporných práv a povinností a dále odůvodnění převodu Pozemků na Družstvo za cenu z části jinou, než v čase a místě obvyklou. </w:t>
      </w:r>
    </w:p>
    <w:p w:rsidR="00F70E98" w:rsidRPr="008D3278" w:rsidRDefault="00F70E98" w:rsidP="00F70E98">
      <w:pPr>
        <w:jc w:val="both"/>
        <w:rPr>
          <w:szCs w:val="22"/>
        </w:rPr>
      </w:pPr>
    </w:p>
    <w:p w:rsidR="00F70E98" w:rsidRPr="008D3278" w:rsidRDefault="00F70E98" w:rsidP="00F70E98">
      <w:pPr>
        <w:numPr>
          <w:ilvl w:val="0"/>
          <w:numId w:val="9"/>
        </w:numPr>
        <w:autoSpaceDN w:val="0"/>
        <w:spacing w:after="200" w:line="276" w:lineRule="auto"/>
        <w:contextualSpacing/>
        <w:jc w:val="both"/>
        <w:rPr>
          <w:b/>
          <w:szCs w:val="22"/>
          <w:lang w:eastAsia="en-US" w:bidi="en-US"/>
        </w:rPr>
      </w:pPr>
      <w:r w:rsidRPr="008D3278">
        <w:rPr>
          <w:b/>
          <w:szCs w:val="22"/>
          <w:lang w:eastAsia="en-US" w:bidi="en-US"/>
        </w:rPr>
        <w:t xml:space="preserve">Převod Pozemků do vlastnictví Družstva 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Jak bylo popsáno výše, nese současná právní situace celou řadu otázek, nejasností a sporných bodů a vnáší do postavení Městské části, resp. HMP, ale i Družstva významnou míru právní nejistoty.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jc w:val="both"/>
        <w:rPr>
          <w:lang w:eastAsia="x-none"/>
        </w:rPr>
      </w:pPr>
      <w:r w:rsidRPr="008D3278">
        <w:t xml:space="preserve">Pozemky tvoří jeden funkční celek. Pozemky jsou dlouhodobě užívány ze strany Družstva. Městská část nemá jak samostatně Pozemky využívat. </w:t>
      </w:r>
    </w:p>
    <w:p w:rsidR="00F70E98" w:rsidRPr="008D3278" w:rsidRDefault="00F70E98" w:rsidP="00F70E98">
      <w:pPr>
        <w:jc w:val="both"/>
      </w:pPr>
      <w:r w:rsidRPr="008D3278">
        <w:t>Jediným možným zájemcem a logickým kupcem Pozemků, v kontextu všech relevantních okolností, je Družstvo. Mezi Družstvem a Městskou částí je dlouhodobě jednáno o převodu vlastnického práva k Pozemkům na Družstvo. Převod Pozemků za cenu v čase a místě obvyklou byl předvídán již v samostatné Smlouvě o sdružení a dalších na ni navazujících smluvních vztazích.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Převodem Pozemků do vlastnictví Družstva dojde k naplnění dříve uzavřených smluv a je naplněním zásady Občanského zákoníku, že daný slib zavazuje a smlouvy mají být plněny.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jc w:val="both"/>
        <w:rPr>
          <w:lang w:eastAsia="x-none"/>
        </w:rPr>
      </w:pPr>
      <w:r w:rsidRPr="008D3278">
        <w:t>Převodem Pozemků dojde ke sjednocení vlastnických práv k Budově a k Pozemkům, což směřuje k právně jistému a právně bezpečnému stavu bez potřeby budoucího řešení odlišných vlastnických práv k oběma nemovitostem.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 xml:space="preserve">Proti tomu, převod Pozemků do vlastnictví třetí osoby neřeší spletitou a právně složitou aktuální situaci vztahů mezi Městskou částí a Družstvem. Převod Pozemků do vlastnictví třetí osoby by učinilo právní vztahy obou stran ještě méně jasné, méně přehledné a komplikovanější. Takový krok by mohl vyvolat další kroky Družstva a řadu soudních sporů. 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Zachování stávajícího uspořádání spoluvlastnických vztahů je, s ohledem na výše uvedené skutečnosti a zejména potenciální neplatnost smluv, neudržitelné a situaci neřeší.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 xml:space="preserve">Jediným vhodným řešením je tak převod Pozemků na Družstvo.  </w:t>
      </w:r>
    </w:p>
    <w:p w:rsidR="00F70E98" w:rsidRPr="008D3278" w:rsidRDefault="00F70E98" w:rsidP="00F70E98">
      <w:pPr>
        <w:jc w:val="both"/>
        <w:rPr>
          <w:szCs w:val="22"/>
          <w:lang w:eastAsia="x-none"/>
        </w:rPr>
      </w:pPr>
    </w:p>
    <w:p w:rsidR="00F70E98" w:rsidRPr="008D3278" w:rsidRDefault="00F70E98" w:rsidP="00F70E98">
      <w:pPr>
        <w:numPr>
          <w:ilvl w:val="0"/>
          <w:numId w:val="9"/>
        </w:numPr>
        <w:autoSpaceDN w:val="0"/>
        <w:spacing w:after="200" w:line="276" w:lineRule="auto"/>
        <w:contextualSpacing/>
        <w:jc w:val="both"/>
        <w:rPr>
          <w:b/>
          <w:szCs w:val="22"/>
          <w:lang w:eastAsia="en-US" w:bidi="en-US"/>
        </w:rPr>
      </w:pPr>
      <w:r w:rsidRPr="008D3278">
        <w:rPr>
          <w:b/>
          <w:szCs w:val="22"/>
          <w:lang w:eastAsia="en-US" w:bidi="en-US"/>
        </w:rPr>
        <w:t>Eliminace rizika soudních sporů a povinnosti náhrady škody</w:t>
      </w:r>
    </w:p>
    <w:p w:rsidR="00F70E98" w:rsidRPr="008D3278" w:rsidRDefault="00F70E98" w:rsidP="00F70E98">
      <w:pPr>
        <w:jc w:val="both"/>
        <w:rPr>
          <w:szCs w:val="22"/>
          <w:lang w:eastAsia="x-none"/>
        </w:rPr>
      </w:pPr>
      <w:r w:rsidRPr="008D3278">
        <w:rPr>
          <w:szCs w:val="22"/>
        </w:rPr>
        <w:t>Vztah mezi Městskou částí a Družstvem nebyl předmětem přezkumu u českých soudů. Zahájení soudního řízení může iniciovat jak Městská část, tak Družstvo.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Vzhledem ke specifikům problematiky u smluv mezi Městskou částí a Družstvem, nelze předem jednoznačně určit, jakým způsobem by otázku neplatnosti Kupní smlouvy a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 xml:space="preserve">řešily soudy a jak by řešily případné nároky Družstva na náhradu škody. </w:t>
      </w: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  <w:r w:rsidRPr="008D3278">
        <w:rPr>
          <w:szCs w:val="22"/>
        </w:rPr>
        <w:t xml:space="preserve">Varianta jednostranných kroků s podáním žalob k příslušnému soudu (ať již ze strany Družstva, tak i Městské části, resp. HMP), sice může vnést do problematiky práv a povinností obou stran poměrně jasno, nicméně jde o proces zdlouhavý (nepředvídatelná délka řízení s možnostmi odvolání), finančně náročný (právní zastoupení, náklady řízení) a pro složitost </w:t>
      </w:r>
      <w:r w:rsidRPr="008D3278">
        <w:rPr>
          <w:szCs w:val="22"/>
        </w:rPr>
        <w:lastRenderedPageBreak/>
        <w:t>problematiky, s nejistým výsledkem. Výsledek soudního sporu může být hypoteticky pro Městskou část i značně nepříznivý.</w:t>
      </w: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  <w:r w:rsidRPr="008D3278">
        <w:rPr>
          <w:szCs w:val="22"/>
        </w:rPr>
        <w:t xml:space="preserve">V případě, že by soudy při posuzování věci rozhodly ve prospěch Družstva, je zde dáno riziko, že bude Městská část povinna hradit jednak náklady soudního řízení, ale i škodu, která na straně Družstva mohla vzniknout. Otázkou je, zda škoda vznikla a v jaké výši a do jaké míry by bylo Družstvo při uplatnění svých nároků úspěšné, zejména se zohledněním toho, že si Družstvo při uzavření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>a Kupní smlouvy neověřilo, zda byly splněny veškeré podmínky pro platné a účinné uzavření obou smluv.  Konkrétně pak podmínky stanovené Statutem.</w:t>
      </w: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  <w:r w:rsidRPr="008D3278">
        <w:rPr>
          <w:szCs w:val="22"/>
        </w:rPr>
        <w:t>Navržený záměr převodu Pozemků počítá s tím, že budou pro zajištění právní jistoty všech zúčastně</w:t>
      </w:r>
      <w:bookmarkStart w:id="0" w:name="_GoBack"/>
      <w:bookmarkEnd w:id="0"/>
      <w:r w:rsidR="0045721B">
        <w:rPr>
          <w:szCs w:val="22"/>
        </w:rPr>
        <w:t>ný</w:t>
      </w:r>
      <w:r w:rsidRPr="008D3278">
        <w:rPr>
          <w:szCs w:val="22"/>
        </w:rPr>
        <w:t xml:space="preserve">ch stran veškeré sporné otázky týkající se Pozemků, tedy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 xml:space="preserve">a Kupní smlouvy narovnány a s tím, že bude problematika týkající se těchto dvou smluv s konečnou platností vyřešena, včetně případných otázek týkajících se hypotetické náhrady škody ze strany Družstva. </w:t>
      </w: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</w:p>
    <w:p w:rsidR="00F70E98" w:rsidRPr="008D3278" w:rsidRDefault="00F70E98" w:rsidP="00F70E98">
      <w:pPr>
        <w:adjustRightInd w:val="0"/>
        <w:contextualSpacing/>
        <w:jc w:val="both"/>
        <w:rPr>
          <w:szCs w:val="22"/>
        </w:rPr>
      </w:pPr>
      <w:r w:rsidRPr="008D3278">
        <w:rPr>
          <w:szCs w:val="22"/>
        </w:rPr>
        <w:t xml:space="preserve">Současně taková nová dohoda vyloučí zvyšování nákladů na právní služby a související poradenství, které se týká problematiky a současně i náklady soudního řízení, které mohou dosáhnout, při využití všech opravných prostředků řádů stovek tisíc </w:t>
      </w:r>
      <w:r>
        <w:rPr>
          <w:szCs w:val="22"/>
        </w:rPr>
        <w:t>k</w:t>
      </w:r>
      <w:r w:rsidRPr="008D3278">
        <w:rPr>
          <w:szCs w:val="22"/>
        </w:rPr>
        <w:t>orun českých až jednotek milionů.</w:t>
      </w:r>
    </w:p>
    <w:p w:rsidR="00F70E98" w:rsidRPr="008D3278" w:rsidRDefault="00F70E98" w:rsidP="00F70E98">
      <w:pPr>
        <w:spacing w:after="200"/>
        <w:ind w:left="927"/>
        <w:contextualSpacing/>
        <w:jc w:val="both"/>
        <w:rPr>
          <w:b/>
          <w:szCs w:val="22"/>
          <w:lang w:eastAsia="en-US" w:bidi="en-US"/>
        </w:rPr>
      </w:pPr>
    </w:p>
    <w:p w:rsidR="00F70E98" w:rsidRPr="008D3278" w:rsidRDefault="00F70E98" w:rsidP="00F70E98">
      <w:pPr>
        <w:numPr>
          <w:ilvl w:val="0"/>
          <w:numId w:val="9"/>
        </w:numPr>
        <w:autoSpaceDN w:val="0"/>
        <w:spacing w:after="200" w:line="276" w:lineRule="auto"/>
        <w:contextualSpacing/>
        <w:jc w:val="both"/>
        <w:rPr>
          <w:b/>
          <w:szCs w:val="22"/>
          <w:lang w:eastAsia="en-US" w:bidi="en-US"/>
        </w:rPr>
      </w:pPr>
      <w:r w:rsidRPr="008D3278">
        <w:rPr>
          <w:b/>
          <w:szCs w:val="22"/>
          <w:lang w:eastAsia="en-US" w:bidi="en-US"/>
        </w:rPr>
        <w:t>Nahrazení sporných či potenciálně neplatných smluv novou platnou smlouvou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 xml:space="preserve">Návrh postupu Městské části vychází z obecné možnosti a práva smluvních stran nahradit dřívější Smlouvu o smlouvě budoucí </w:t>
      </w:r>
      <w:r>
        <w:rPr>
          <w:szCs w:val="22"/>
          <w:lang w:eastAsia="en-US" w:bidi="en-US"/>
        </w:rPr>
        <w:t xml:space="preserve">kupní </w:t>
      </w:r>
      <w:r w:rsidRPr="008D3278">
        <w:rPr>
          <w:szCs w:val="22"/>
          <w:lang w:eastAsia="en-US" w:bidi="en-US"/>
        </w:rPr>
        <w:t xml:space="preserve">a Kupní smlouvu, resp. sporná práva z nich vyplývající a na ně navazující smluvní vztahy, novou smlouvou či dohodou. V našem případě definovanou Novou kupní smlouvou. 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 xml:space="preserve">Zákon současně nevylučuje, aby nově uzavřená smlouva, za splnění dalších zákonných podmínek, obsahovala stejná či obdobná ujednání, jako smlouvy dříve uzavřené (byť potenciálně neplatné). 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Uvedený postup je možný zejména z důvodu, že popsané dvě smlouvy jsou potenciálně neplatné z důvodu formálních nedostatků, které předcházely jejich uzavření. Pokud budou tyto formální nedostatky odstraněny (dojde k řádnému uveřejnění záměru, schválení příslušnými orgány Městské části a předložení záměru radě HMP dle pravidel Statutu a odůvodnění dalších podmínek dle požadavků právních předpisů), nebrání Městské části a Družstvu postupovat dle takto nově uzavřené smlouvy.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b/>
          <w:lang w:bidi="en-US"/>
        </w:rPr>
      </w:pPr>
      <w:r w:rsidRPr="008D3278">
        <w:rPr>
          <w:rFonts w:ascii="Times New Roman" w:hAnsi="Times New Roman"/>
          <w:b/>
        </w:rPr>
        <w:t>Kupní cena pozemků a způsob jejího stanovení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Městská část či HMP jsou dle Zákona o HMP povinny postupovat při převodu nemovitého majetku do vlastnictví třetí osoby tak, aby došlo k převodu takového majetku za cenu v čase a místě obvyklou. Odchylka od ceny v čase a místě obvyklé je principálně možná, musí však být řádně zdůvodněna (viz § 36 Zákona o HMP).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jc w:val="both"/>
        <w:rPr>
          <w:szCs w:val="22"/>
          <w:lang w:eastAsia="x-none"/>
        </w:rPr>
      </w:pPr>
      <w:r w:rsidRPr="008D3278">
        <w:rPr>
          <w:szCs w:val="22"/>
        </w:rPr>
        <w:t xml:space="preserve">Výchozí kupní cena pro prodej Pozemků Družstvu je stanovena k listopadu 2020, a to dle výše definovaných Posudků vyhotovených znalcem Ing. Janem </w:t>
      </w:r>
      <w:proofErr w:type="spellStart"/>
      <w:r w:rsidRPr="008D3278">
        <w:rPr>
          <w:szCs w:val="22"/>
        </w:rPr>
        <w:t>Fujáčkem</w:t>
      </w:r>
      <w:proofErr w:type="spellEnd"/>
      <w:r w:rsidRPr="008D3278">
        <w:rPr>
          <w:szCs w:val="22"/>
        </w:rPr>
        <w:t>. Tento znalec byl výslovně doporučen ze strany magistrátu HMP a lze tedy předpokládat, že budou jeho závěry ze strany HMP plně akceptovány.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lastRenderedPageBreak/>
        <w:t>Tuto cenu je navrženo dále nenavyšovat z důvodu, že ohledně prodeje Pozemků probíhají dlouhodobá jednání mezi Družstvem a Městskou částí, přičemž průtahy v jednáních jsou výsledkem složitosti procesů a formálních požadavků na realizaci navržené transakce.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Klíčovým a zásadním důvodem nenavyšování kupní ceny proti Posudkům z listopadu 2020 je pak to, že neplatnost Kupní smlouvy, resp.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 xml:space="preserve">a dodatečné navýšení ceny Pozemků způsobila primárně Městská část, a to tím, že záměr prodeje nepředložila Radě HMP dle podmínek Statutu. V rámci konzervace kupní ceny dle navržené Nové kupní smlouvy je tak zohledněna i tato skutečnost i potenciální možnost Družstva domáhat se náhrady vzniklé škody. 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S ohledem na historický vývoj problematiky i skutečnost, že případnou neplatnost Kupní smlouvy a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>mohla zapříčinit primárně Městská část, mohlo by být další navýšení postupem, který nebude v souladu se zásadami, na kterých je založen Občanský zákoník.</w:t>
      </w:r>
    </w:p>
    <w:p w:rsidR="00F70E98" w:rsidRPr="008D3278" w:rsidRDefault="00F70E98" w:rsidP="00F70E98">
      <w:pPr>
        <w:spacing w:after="200"/>
        <w:ind w:firstLine="72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Zakonzervování kupní ceny je pak současně odůvodněno i úsporou nákladů Městské části na soudní řešení věci pro případ, že by Družstvo mělo v úmyslu řešit odkup Pozemků prostřednictvím žaloby či požadovalo náhradu vzniklé škody. Takový postup by neúměrně navyšoval náklady na obou stranách s tím, že výsledek takového soudního sporu, s ohledem na potenciální absolutní neplatnost Kupní smlouvy, resp. Smlouvy o smlouvě budoucí</w:t>
      </w:r>
      <w:r>
        <w:rPr>
          <w:szCs w:val="22"/>
          <w:lang w:eastAsia="en-US" w:bidi="en-US"/>
        </w:rPr>
        <w:t xml:space="preserve"> </w:t>
      </w:r>
      <w:proofErr w:type="gramStart"/>
      <w:r>
        <w:rPr>
          <w:szCs w:val="22"/>
          <w:lang w:eastAsia="en-US" w:bidi="en-US"/>
        </w:rPr>
        <w:t xml:space="preserve">kupní </w:t>
      </w:r>
      <w:r w:rsidRPr="008D3278">
        <w:rPr>
          <w:szCs w:val="22"/>
          <w:lang w:eastAsia="en-US" w:bidi="en-US"/>
        </w:rPr>
        <w:t>, by</w:t>
      </w:r>
      <w:proofErr w:type="gramEnd"/>
      <w:r w:rsidRPr="008D3278">
        <w:rPr>
          <w:szCs w:val="22"/>
          <w:lang w:eastAsia="en-US" w:bidi="en-US"/>
        </w:rPr>
        <w:t xml:space="preserve"> byl značně nejistý a zvyšoval by právní nejistotu jak na straně Družstva, tak i na straně Městské části, a to do pravomocného vyřešení věci, když soudní řízení může v takovém případě trvat několik let.</w:t>
      </w:r>
    </w:p>
    <w:p w:rsidR="00F70E98" w:rsidRPr="008D3278" w:rsidRDefault="00F70E98" w:rsidP="00F70E98">
      <w:pPr>
        <w:spacing w:after="200"/>
        <w:ind w:firstLine="720"/>
        <w:contextualSpacing/>
        <w:jc w:val="both"/>
        <w:rPr>
          <w:szCs w:val="22"/>
          <w:lang w:eastAsia="en-US" w:bidi="en-US"/>
        </w:rPr>
      </w:pPr>
    </w:p>
    <w:p w:rsidR="00F70E98" w:rsidRPr="008D3278" w:rsidRDefault="00F70E98" w:rsidP="00F70E98">
      <w:pPr>
        <w:jc w:val="both"/>
        <w:rPr>
          <w:szCs w:val="22"/>
          <w:lang w:eastAsia="x-none"/>
        </w:rPr>
      </w:pPr>
      <w:r w:rsidRPr="008D3278">
        <w:rPr>
          <w:szCs w:val="22"/>
        </w:rPr>
        <w:t>K zakonzervování ceny svědčí i to, že v Posudcích není navíc vyčísleno zhodnocení Pozemků ze strany Družstva ani náklady za péči o tyto Pozemky.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Současně je třeba uvést, že nově navržená kupní cena je výsledkem dlouhodobého, více jak ročního jednání obou stran a pracovníků HMP, když Družstvo vstupovalo do jednání s jednoznačným požadavkem na dodržení ceny dle původní Kupní smlouvy.</w:t>
      </w:r>
    </w:p>
    <w:p w:rsidR="00F70E98" w:rsidRPr="008D3278" w:rsidRDefault="00F70E98" w:rsidP="00F70E98">
      <w:pPr>
        <w:spacing w:after="200"/>
        <w:contextualSpacing/>
        <w:jc w:val="both"/>
        <w:rPr>
          <w:szCs w:val="22"/>
          <w:lang w:eastAsia="en-US" w:bidi="en-US"/>
        </w:rPr>
      </w:pPr>
      <w:r w:rsidRPr="008D3278">
        <w:rPr>
          <w:szCs w:val="22"/>
          <w:lang w:eastAsia="en-US" w:bidi="en-US"/>
        </w:rPr>
        <w:t>Jak je uvedeno obecně výše, klíčové je řádné odůvodnění odchylky od ceny v čase a místě obvyklé. Další odůvodnění odchylky od ceny Pozemků v čase a místě obvyklé je pak uvedeno v následujících bodech tohoto shrnutí, zejména v bodě 7 a násl.</w:t>
      </w:r>
    </w:p>
    <w:p w:rsidR="00F70E98" w:rsidRPr="008D3278" w:rsidRDefault="00F70E98" w:rsidP="00F70E98">
      <w:pPr>
        <w:jc w:val="both"/>
        <w:rPr>
          <w:szCs w:val="22"/>
        </w:rPr>
      </w:pPr>
    </w:p>
    <w:p w:rsidR="00F70E98" w:rsidRPr="008D3278" w:rsidRDefault="00F70E98" w:rsidP="00F70E98">
      <w:pPr>
        <w:jc w:val="both"/>
        <w:rPr>
          <w:szCs w:val="22"/>
        </w:rPr>
      </w:pPr>
    </w:p>
    <w:p w:rsidR="00F70E98" w:rsidRPr="008D3278" w:rsidRDefault="00F70E98" w:rsidP="00F70E98">
      <w:pPr>
        <w:numPr>
          <w:ilvl w:val="0"/>
          <w:numId w:val="9"/>
        </w:numPr>
        <w:autoSpaceDN w:val="0"/>
        <w:spacing w:after="200" w:line="276" w:lineRule="auto"/>
        <w:contextualSpacing/>
        <w:jc w:val="both"/>
        <w:rPr>
          <w:b/>
          <w:szCs w:val="22"/>
          <w:lang w:eastAsia="en-US" w:bidi="en-US"/>
        </w:rPr>
      </w:pPr>
      <w:r w:rsidRPr="008D3278">
        <w:rPr>
          <w:b/>
          <w:szCs w:val="22"/>
          <w:lang w:eastAsia="en-US" w:bidi="en-US"/>
        </w:rPr>
        <w:t>Navržené řešení respektuje ochranu dobré víry a legitimní očekávání družstva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Z hlediska argumentace směřující k  převodu Pozemků je pak třeba zmínit dobrou víru a legitimní očekávání Družstva a jeho členů, když po období několika let tyto osoby legitimně a v dobré víře předpokládaly, včetně ostatně i samotné Městské části, že dojde k převodu Pozemků za cenu dle znaleckých posudků z roku 2016, a že se členové Družstva stanou budoucími vlastníky Pozemků. V tomto ohledu docházelo i k převodu družstevních podílů mezi zakládajícími členy Družstva a členy novými.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Toto legitimní očekávání trvalo po celou dobu od podpisu Smlouvy o sdružení a bylo posíleno i uzavřením dalších navazujících smluv, kde byl způsob převodu Pozemků nastíněn a potvrzen, tedy konkrétně v Dohodě k ukončení výstavby a v Dohodě o rozpuštění sdružení a dále ve Smlouvě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>a završeno v Kupní smlouvě.</w:t>
      </w:r>
    </w:p>
    <w:p w:rsidR="00F70E98" w:rsidRPr="008D3278" w:rsidRDefault="00F70E98" w:rsidP="00F70E98">
      <w:pPr>
        <w:jc w:val="both"/>
        <w:rPr>
          <w:szCs w:val="22"/>
        </w:rPr>
      </w:pPr>
    </w:p>
    <w:p w:rsidR="00F70E98" w:rsidRPr="008D3278" w:rsidRDefault="00F70E98" w:rsidP="00F70E98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8D3278">
        <w:rPr>
          <w:rFonts w:ascii="Times New Roman" w:hAnsi="Times New Roman"/>
          <w:b/>
        </w:rPr>
        <w:t>Navržené řešení je v souladu se zásadou, že nikdo nesmí těžit ze svého protiprávního jednání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Uvedená zásada nyní platného Občanského zákoníku se aplikuje i na smlouvy uzavřené před účinností Občanského zákoníku a tedy na všechny Smlouvy uzavřené mezi Městskou částí a Družstvem.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lastRenderedPageBreak/>
        <w:t>Nepředložení záměrů ze strany Městské části vůči Radě HMP je protiprávním jednáním Městské části. Tato porušení jsou primárně porušením na straně Městské části a takové porušení nemůže vést k tomu, aby Městská část vyžadovala za převod Pozemků stále vyšší a vyšší cenu, resp. kupní cenu opakovaně navyšovala v důsledku porušení povinností ze strany Městské části. Takové protiprávní jednání by pak ve smyslu obecných zásad Občanského zákoníku nemělo požívat právní ochrany.</w:t>
      </w:r>
    </w:p>
    <w:p w:rsidR="00F70E98" w:rsidRPr="008D3278" w:rsidRDefault="00F70E98" w:rsidP="00F70E98">
      <w:pPr>
        <w:jc w:val="both"/>
        <w:rPr>
          <w:b/>
          <w:szCs w:val="22"/>
        </w:rPr>
      </w:pPr>
    </w:p>
    <w:p w:rsidR="00F70E98" w:rsidRPr="008D3278" w:rsidRDefault="00F70E98" w:rsidP="00F70E98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ascii="Times New Roman" w:hAnsi="Times New Roman"/>
          <w:b/>
        </w:rPr>
      </w:pPr>
      <w:r w:rsidRPr="008D3278">
        <w:rPr>
          <w:rFonts w:ascii="Times New Roman" w:hAnsi="Times New Roman"/>
          <w:b/>
        </w:rPr>
        <w:t>Ekonomické a finanční aspekty převodu Pozemků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Z vlastnictví Pozemků za současné situace nemá Městská část žádný ekonomický prospěch. Není však vázána žádnými povinnostmi ani výdaji. Tento stav potrvá až do okamžiku ukončení existence Sdružení dle Smlouvy o sdružení.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Převodem Pozemků na Družstvo Městská část nebude mít povinnost investovat do oprav, celoroční a zejména zimní údržby a úklidu Pozemků. Neponese riziko jejich znehodnocení. Tato úspora je v rámci Nové kupní smlouvy možná až po dobu 10 let od jejího podpisu, tedy dokonce déle, než předvídala samotná Smlouva o sdružení. 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Převodem Pozemků Městská část uspoří náklady na kontrolu hospodaření s majetkem a personální kapacity. Ryze administrativní činnost bude moci soustředit na jiné činnosti Městské části.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Uzavřením nové kupní smlouvy mezi Městskou částí a Družstvem obě smluvní strany zamezí vynakládání dalších finančních prostředků na právní poradenství, právní zastoupení a náklady řízení v případě soudního sporu, které mohou kumulativně dosáhnout i jednotek milionů Korun českých.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Zcela hypotetická ekonomická ztráta Městské částí spočívající v tom, že Městská část, resp. HMP nebude trvat na převodu Pozemků za cenu kde dni reálného podpisu Nové kupní smlouvy a na navyšování kupní ceny proti Posudkům z listopadu 2020 není v nepoměru vůči finančním pozitivům a neekonomickým pozitivním aspektům a stavu, který přinese navržené smírné řešení a narovnání sporných vztahů dle Nové kupní smlouvy.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 xml:space="preserve">Městská část převede Pozemky na Družstvo za cenu podstatně vyšší, než za kterou ji dle Smlouvy o smlouvě budoucí </w:t>
      </w:r>
      <w:r>
        <w:rPr>
          <w:szCs w:val="22"/>
        </w:rPr>
        <w:t xml:space="preserve">kupní </w:t>
      </w:r>
      <w:r w:rsidRPr="008D3278">
        <w:rPr>
          <w:szCs w:val="22"/>
        </w:rPr>
        <w:t>a Kupní smlouvy měly smluvní strany v úmyslu původně převést. Původní kupní cena byla sjednána pouze ve výši 7.922.500,- Kč</w:t>
      </w:r>
      <w:r>
        <w:rPr>
          <w:szCs w:val="22"/>
        </w:rPr>
        <w:t xml:space="preserve"> na základě znaleckého posudku Ing. Jana </w:t>
      </w:r>
      <w:proofErr w:type="spellStart"/>
      <w:r>
        <w:rPr>
          <w:szCs w:val="22"/>
        </w:rPr>
        <w:t>Beněše</w:t>
      </w:r>
      <w:proofErr w:type="spellEnd"/>
      <w:r w:rsidRPr="008D3278">
        <w:rPr>
          <w:szCs w:val="22"/>
        </w:rPr>
        <w:t>. Aktuální kupní cena za (identické) Pozemky je navržena ve výši 16.193.700,- Kč</w:t>
      </w:r>
      <w:r>
        <w:rPr>
          <w:szCs w:val="22"/>
        </w:rPr>
        <w:t xml:space="preserve"> na základě znaleckých posudků </w:t>
      </w:r>
      <w:r w:rsidRPr="00583C48">
        <w:t>Ing. Jan</w:t>
      </w:r>
      <w:r>
        <w:t>a</w:t>
      </w:r>
      <w:r w:rsidRPr="00583C48">
        <w:t xml:space="preserve"> </w:t>
      </w:r>
      <w:proofErr w:type="spellStart"/>
      <w:r w:rsidRPr="00583C48">
        <w:t>Fujáčk</w:t>
      </w:r>
      <w:r>
        <w:t>a</w:t>
      </w:r>
      <w:proofErr w:type="spellEnd"/>
      <w:r w:rsidRPr="008D3278">
        <w:rPr>
          <w:szCs w:val="22"/>
        </w:rPr>
        <w:t>. Rozdíl v tomto ohledu činí několik jednotek milionů korun, je více než dvojnásobný a navíc bez rizika jakéhokoliv soudního sporu či povinnosti nahradit vzniklou škodu.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Městská část se navrženým postupem vyhne budoucím rizikům a prodá Pozemky za podstatně vyšší cenu, než za jakou je byla zavázána převést na Družstvo dle dřívější Kupní smlouvy.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Za podstatné je třeba považovat to, že Městská část bude mít k dispozici celou kupní cenu ve lhůtě 30 dní od uveřejnění Nové kupní smlouvy v registru smluv. Získané finanční prostředky bude moci Městská část bezodkladně investovat do jiných projektů či rozvoje samotné Městské části.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Navržený záměr tak nemá negativní dopad na hospodaření Městské části, která nebude nucena vynakládat další finanční prostředky. Nové finanční prostředky naopak relativně rychle získá.</w:t>
      </w:r>
    </w:p>
    <w:p w:rsidR="00F70E98" w:rsidRPr="008D3278" w:rsidRDefault="00F70E98" w:rsidP="00F70E98">
      <w:pPr>
        <w:jc w:val="both"/>
        <w:rPr>
          <w:szCs w:val="22"/>
        </w:rPr>
      </w:pPr>
    </w:p>
    <w:p w:rsidR="00F70E98" w:rsidRPr="008D3278" w:rsidRDefault="00F70E98" w:rsidP="00F70E98">
      <w:pPr>
        <w:numPr>
          <w:ilvl w:val="0"/>
          <w:numId w:val="9"/>
        </w:numPr>
        <w:autoSpaceDN w:val="0"/>
        <w:spacing w:after="200" w:line="276" w:lineRule="auto"/>
        <w:contextualSpacing/>
        <w:jc w:val="both"/>
        <w:rPr>
          <w:b/>
          <w:szCs w:val="22"/>
          <w:lang w:eastAsia="en-US" w:bidi="en-US"/>
        </w:rPr>
      </w:pPr>
      <w:r w:rsidRPr="008D3278">
        <w:rPr>
          <w:b/>
          <w:szCs w:val="22"/>
          <w:lang w:eastAsia="en-US" w:bidi="en-US"/>
        </w:rPr>
        <w:t>Převod je z pohledu Zákona o HMP odůvodněn i jinými než čistě ekonomickými aspekty - zájmy Městské části</w:t>
      </w:r>
    </w:p>
    <w:p w:rsidR="00F70E98" w:rsidRPr="008D3278" w:rsidRDefault="00F70E98" w:rsidP="00F70E98">
      <w:pPr>
        <w:jc w:val="both"/>
        <w:rPr>
          <w:szCs w:val="22"/>
          <w:lang w:eastAsia="x-none"/>
        </w:rPr>
      </w:pPr>
      <w:r w:rsidRPr="008D3278">
        <w:rPr>
          <w:szCs w:val="22"/>
        </w:rPr>
        <w:t xml:space="preserve">Z hlediska dodržení pravidel Zákona o HMP je třeba převod za cenu jinou, než v čase a místě obvyklou, řádně odůvodnit, a to prostřednictvím jiných důležitých zájmů Městské části, než </w:t>
      </w:r>
      <w:r w:rsidRPr="008D3278">
        <w:rPr>
          <w:szCs w:val="22"/>
        </w:rPr>
        <w:lastRenderedPageBreak/>
        <w:t>jsou zájmy čistě ekonomické.  Toto odůvodnění představují jednotlivé body této zprávy a níže uvedené konkrétní skutečnosti: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Uzavřením Nové kupní smlouvy dojde k narovnání sporných práv a povinností Městské části a Družstva.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Problematika Pozemků bude řešena komplexně a ve vztahu ke všem dotčeným Pozemkům.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Převodem Pozemků Městská část a HMP předejdou potenciálně letitým soudním sporům s ne zcela předvídatelným výsledkem.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Uzavřením navržené Nové kupní smlouvy to bude výlučně Družstvo, které bude zajišťovat údržbu a péči o Pozemky, a to na vlastní náklady, riziko a odpovědnost.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Benefitem navržené Nové kupní smlouvy je i skutečnost, že částečně řeší právní uspořádání vztahů Městské části a Družstva do budoucna, a to i ve vztahu k Budově. Uzavřením Nové kupní smlouvy je tak významně zvýšena právní jistota obou stran a nezanedbatelně eliminováno jednostranné řešení věci ze strany Družstva soudní cestou.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Odchylku od ceny v čase a místě obvyklé lze současně odůvodnit i samotným narovnáním sporných práv a povinností, když není zájmem Městské části ani Družstva řešit věc soudní cestou, případně jednostrannými kroky kterékoliv strany s perspektivou letitých soudních sporů a výdajů.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Navrženou transakcí a uzavřením navržené dohody bude Městská část šetřit administrativní a personální kapacity spojené s případným vlastnictvím a správou Pozemků.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 xml:space="preserve">Je přitom možné a vysoce pravděpodobné, že v případě, kdy by k řešení situace, jak je navrženo nedošlo, bude se takového uspořádání a řešení domáhat Družstvo soudní cestou. 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Navržená transakce a způsob řešení komplikované právní situace je jedinou možnou cestou (s výjimkou soudního sporu), jak vztahy mezi Městskou částí, resp. HMP a Družstvem komplexně, rychle, efektivně a trvale vyřešit. Výsledný stav navíc bude částečně odpovídat původnímu účelu a úmyslu</w:t>
      </w:r>
      <w:r>
        <w:rPr>
          <w:rFonts w:ascii="Times New Roman" w:hAnsi="Times New Roman"/>
        </w:rPr>
        <w:t>, který je vyjádřen</w:t>
      </w:r>
      <w:r w:rsidRPr="008D3278">
        <w:rPr>
          <w:rFonts w:ascii="Times New Roman" w:hAnsi="Times New Roman"/>
        </w:rPr>
        <w:t xml:space="preserve"> ve Smlouvě o sdružení.  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Navržené řešení je řešením, které je Družstvo ochotno akceptovat.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Zachování stávajícího stavu, převod Pozemků do vlastnictví třetích osob či trvání Městské části na převodu Pozemků za cenu vždy zcela aktuální, jsou postupy a cesty, které nemohou vyrovnat benefity navrženého postupu a vyloučit nemalá právní a finanční rizika, jak jsou popsána v ostatních částech této zprávy.</w:t>
      </w:r>
    </w:p>
    <w:p w:rsidR="00F70E98" w:rsidRPr="008D3278" w:rsidRDefault="00F70E98" w:rsidP="00F70E98">
      <w:pPr>
        <w:pStyle w:val="Odstavecseseznamem"/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/>
        </w:rPr>
      </w:pPr>
      <w:r w:rsidRPr="008D3278">
        <w:rPr>
          <w:rFonts w:ascii="Times New Roman" w:hAnsi="Times New Roman"/>
        </w:rPr>
        <w:t>Výše uvedené skutečnosti pak v celkovém kontextu představují významné právní a faktické benefity záměru - uzavření Nové kupní smlouvy.</w:t>
      </w:r>
    </w:p>
    <w:p w:rsidR="00F70E98" w:rsidRPr="008D3278" w:rsidRDefault="00F70E98" w:rsidP="00F70E98">
      <w:pPr>
        <w:jc w:val="both"/>
        <w:rPr>
          <w:szCs w:val="22"/>
        </w:rPr>
      </w:pPr>
      <w:r w:rsidRPr="008D3278">
        <w:rPr>
          <w:szCs w:val="22"/>
        </w:rPr>
        <w:t>Výše uvedené body pod písm. a) až l) a další body této zprávy pak představují jiné důležité zájmy Městské části, resp. HMP, jak je definuje Zákon o HMP a jde o důvody pro částečné odchýlení od ceny v čase a místě obvyklé.</w:t>
      </w:r>
    </w:p>
    <w:p w:rsidR="00F70E98" w:rsidRPr="008D3278" w:rsidRDefault="00F70E98" w:rsidP="00F70E98">
      <w:pPr>
        <w:pStyle w:val="Odstavecseseznamem"/>
        <w:jc w:val="both"/>
        <w:rPr>
          <w:rFonts w:ascii="Times New Roman" w:hAnsi="Times New Roman"/>
          <w:b/>
          <w:sz w:val="24"/>
          <w:szCs w:val="24"/>
        </w:rPr>
      </w:pPr>
    </w:p>
    <w:p w:rsidR="00F70E98" w:rsidRPr="008D3278" w:rsidRDefault="00F70E98" w:rsidP="00F70E98">
      <w:pPr>
        <w:jc w:val="both"/>
      </w:pPr>
    </w:p>
    <w:p w:rsidR="00F70E98" w:rsidRPr="008D3278" w:rsidRDefault="00F70E98" w:rsidP="00F70E98">
      <w:pPr>
        <w:jc w:val="both"/>
      </w:pPr>
    </w:p>
    <w:p w:rsidR="00F70E98" w:rsidRPr="007F50C7" w:rsidRDefault="00F70E98" w:rsidP="00F70E98">
      <w:pPr>
        <w:rPr>
          <w:b/>
        </w:rPr>
      </w:pPr>
    </w:p>
    <w:p w:rsidR="00F70E98" w:rsidRDefault="00F70E98" w:rsidP="00F70E98"/>
    <w:p w:rsidR="00F70E98" w:rsidRDefault="00F70E98" w:rsidP="00F70E98"/>
    <w:p w:rsidR="006D219F" w:rsidRDefault="006D219F" w:rsidP="006D219F"/>
    <w:p w:rsidR="00AC280E" w:rsidRDefault="00AC280E"/>
    <w:sectPr w:rsidR="00AC28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CD8" w:rsidRDefault="002F78EC">
      <w:r>
        <w:separator/>
      </w:r>
    </w:p>
  </w:endnote>
  <w:endnote w:type="continuationSeparator" w:id="0">
    <w:p w:rsidR="00F60CD8" w:rsidRDefault="002F7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F4" w:rsidRDefault="009A3A17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5721B">
      <w:rPr>
        <w:noProof/>
      </w:rPr>
      <w:t>7</w:t>
    </w:r>
    <w:r>
      <w:fldChar w:fldCharType="end"/>
    </w:r>
    <w:r>
      <w:t xml:space="preserve"> (celkem </w:t>
    </w:r>
    <w:fldSimple w:instr=" NUMPAGES ">
      <w:r w:rsidR="0045721B">
        <w:rPr>
          <w:noProof/>
        </w:rPr>
        <w:t>10</w:t>
      </w:r>
    </w:fldSimple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CD8" w:rsidRDefault="002F78EC">
      <w:r>
        <w:separator/>
      </w:r>
    </w:p>
  </w:footnote>
  <w:footnote w:type="continuationSeparator" w:id="0">
    <w:p w:rsidR="00F60CD8" w:rsidRDefault="002F78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AF4" w:rsidRDefault="009A3A17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D2A"/>
    <w:multiLevelType w:val="hybridMultilevel"/>
    <w:tmpl w:val="AC26C6C4"/>
    <w:lvl w:ilvl="0" w:tplc="6FCAFE5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622652"/>
    <w:multiLevelType w:val="hybridMultilevel"/>
    <w:tmpl w:val="12965550"/>
    <w:lvl w:ilvl="0" w:tplc="C326FBC4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3B1B69"/>
    <w:multiLevelType w:val="multilevel"/>
    <w:tmpl w:val="3CC2507E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92F18D0"/>
    <w:multiLevelType w:val="hybridMultilevel"/>
    <w:tmpl w:val="28940AE4"/>
    <w:lvl w:ilvl="0" w:tplc="4D844DF0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4623A7"/>
    <w:multiLevelType w:val="hybridMultilevel"/>
    <w:tmpl w:val="CD0A9674"/>
    <w:lvl w:ilvl="0" w:tplc="DA70789E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DB1140D"/>
    <w:multiLevelType w:val="hybridMultilevel"/>
    <w:tmpl w:val="ED4E7C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A2A75"/>
    <w:multiLevelType w:val="hybridMultilevel"/>
    <w:tmpl w:val="993E4A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C40C4E"/>
    <w:multiLevelType w:val="hybridMultilevel"/>
    <w:tmpl w:val="8530166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749757B"/>
    <w:multiLevelType w:val="hybridMultilevel"/>
    <w:tmpl w:val="C8BE96AA"/>
    <w:lvl w:ilvl="0" w:tplc="040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353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19F"/>
    <w:rsid w:val="001B07F0"/>
    <w:rsid w:val="00276E03"/>
    <w:rsid w:val="002F78EC"/>
    <w:rsid w:val="0045721B"/>
    <w:rsid w:val="006D219F"/>
    <w:rsid w:val="00803D73"/>
    <w:rsid w:val="00943B32"/>
    <w:rsid w:val="009A3A17"/>
    <w:rsid w:val="009A456F"/>
    <w:rsid w:val="00AC280E"/>
    <w:rsid w:val="00D54CDE"/>
    <w:rsid w:val="00E43397"/>
    <w:rsid w:val="00F60CD8"/>
    <w:rsid w:val="00F70E98"/>
    <w:rsid w:val="00F8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219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6D219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219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D219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hlav">
    <w:name w:val="header"/>
    <w:basedOn w:val="Normln"/>
    <w:link w:val="ZhlavChar"/>
    <w:semiHidden/>
    <w:rsid w:val="006D21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D21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6D21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D21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219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3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39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219F"/>
    <w:pPr>
      <w:keepNext/>
      <w:jc w:val="both"/>
      <w:outlineLvl w:val="0"/>
    </w:pPr>
    <w:rPr>
      <w:szCs w:val="20"/>
    </w:rPr>
  </w:style>
  <w:style w:type="paragraph" w:styleId="Nadpis7">
    <w:name w:val="heading 7"/>
    <w:basedOn w:val="Normln"/>
    <w:next w:val="Normln"/>
    <w:link w:val="Nadpis7Char"/>
    <w:qFormat/>
    <w:rsid w:val="006D219F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219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6D219F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hlav">
    <w:name w:val="header"/>
    <w:basedOn w:val="Normln"/>
    <w:link w:val="ZhlavChar"/>
    <w:semiHidden/>
    <w:rsid w:val="006D21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D21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6D21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6D21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219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3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3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4328</Words>
  <Characters>25540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Jindřich Sochůrek</cp:lastModifiedBy>
  <cp:revision>8</cp:revision>
  <cp:lastPrinted>2022-01-04T12:08:00Z</cp:lastPrinted>
  <dcterms:created xsi:type="dcterms:W3CDTF">2022-01-04T11:46:00Z</dcterms:created>
  <dcterms:modified xsi:type="dcterms:W3CDTF">2022-01-04T12:56:00Z</dcterms:modified>
</cp:coreProperties>
</file>