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DCD" w:rsidRDefault="008C2502">
      <w:pPr>
        <w:jc w:val="center"/>
        <w:rPr>
          <w:rFonts w:ascii="Arial" w:hAnsi="Arial"/>
          <w:b/>
          <w:sz w:val="28"/>
        </w:rPr>
      </w:pPr>
      <w:r>
        <w:rPr>
          <w:rFonts w:ascii="Arial" w:hAnsi="Arial"/>
          <w:b/>
          <w:sz w:val="28"/>
        </w:rPr>
        <w:t xml:space="preserve">Veřejnoprávní smlouva </w:t>
      </w:r>
    </w:p>
    <w:p w:rsidR="00854DCD" w:rsidRDefault="008C2502">
      <w:pPr>
        <w:jc w:val="center"/>
        <w:rPr>
          <w:rFonts w:ascii="Arial" w:hAnsi="Arial"/>
          <w:b/>
          <w:sz w:val="24"/>
        </w:rPr>
      </w:pPr>
      <w:r>
        <w:rPr>
          <w:rFonts w:ascii="Arial" w:hAnsi="Arial"/>
          <w:b/>
          <w:sz w:val="24"/>
        </w:rPr>
        <w:t>o poskytnutí neinvestičního transferu</w:t>
      </w:r>
    </w:p>
    <w:p w:rsidR="00854DCD" w:rsidRDefault="008C2502">
      <w:pPr>
        <w:jc w:val="center"/>
        <w:rPr>
          <w:rFonts w:ascii="Arial Narrow" w:hAnsi="Arial Narrow"/>
          <w:b/>
          <w:sz w:val="24"/>
        </w:rPr>
      </w:pPr>
      <w:r>
        <w:rPr>
          <w:rFonts w:ascii="Arial Narrow" w:hAnsi="Arial Narrow"/>
          <w:b/>
          <w:sz w:val="24"/>
        </w:rPr>
        <w:t>GR č. …………………</w:t>
      </w:r>
      <w:proofErr w:type="gramStart"/>
      <w:r>
        <w:rPr>
          <w:rFonts w:ascii="Arial Narrow" w:hAnsi="Arial Narrow"/>
          <w:b/>
          <w:sz w:val="24"/>
        </w:rPr>
        <w:t>…..</w:t>
      </w:r>
      <w:proofErr w:type="gramEnd"/>
      <w:r>
        <w:rPr>
          <w:rFonts w:ascii="Arial Narrow" w:hAnsi="Arial Narrow"/>
          <w:b/>
          <w:sz w:val="24"/>
        </w:rPr>
        <w:t xml:space="preserve"> </w:t>
      </w:r>
    </w:p>
    <w:p w:rsidR="00854DCD" w:rsidRDefault="008C2502">
      <w:pPr>
        <w:jc w:val="center"/>
        <w:rPr>
          <w:rFonts w:ascii="Arial Narrow" w:hAnsi="Arial Narrow"/>
          <w:i/>
          <w:sz w:val="24"/>
        </w:rPr>
      </w:pPr>
      <w:r>
        <w:rPr>
          <w:rFonts w:ascii="Arial Narrow" w:hAnsi="Arial Narrow"/>
          <w:i/>
          <w:sz w:val="24"/>
        </w:rPr>
        <w:t xml:space="preserve">uzavřená podle </w:t>
      </w:r>
      <w:proofErr w:type="spellStart"/>
      <w:r>
        <w:rPr>
          <w:rFonts w:ascii="Arial Narrow" w:hAnsi="Arial Narrow"/>
          <w:i/>
          <w:sz w:val="24"/>
        </w:rPr>
        <w:t>ust</w:t>
      </w:r>
      <w:proofErr w:type="spellEnd"/>
      <w:r>
        <w:rPr>
          <w:rFonts w:ascii="Arial Narrow" w:hAnsi="Arial Narrow"/>
          <w:i/>
          <w:sz w:val="24"/>
        </w:rPr>
        <w:t>. § 10 písm. a) – d) zákona č. 250/2000Sb.v platném znění mezi následujícími subjekty:</w:t>
      </w:r>
    </w:p>
    <w:p w:rsidR="00854DCD" w:rsidRDefault="008C2502">
      <w:pPr>
        <w:jc w:val="center"/>
        <w:rPr>
          <w:rFonts w:ascii="Arial Narrow" w:hAnsi="Arial Narrow"/>
          <w:sz w:val="24"/>
        </w:rPr>
      </w:pPr>
      <w:r>
        <w:rPr>
          <w:rFonts w:ascii="Arial Narrow" w:hAnsi="Arial Narrow"/>
          <w:sz w:val="24"/>
        </w:rPr>
        <w:t>__________________________________________________________</w:t>
      </w:r>
    </w:p>
    <w:p w:rsidR="00854DCD" w:rsidRDefault="00854DCD">
      <w:pPr>
        <w:jc w:val="both"/>
        <w:rPr>
          <w:rFonts w:ascii="Arial Narrow" w:hAnsi="Arial Narrow"/>
          <w:b/>
          <w:sz w:val="24"/>
        </w:rPr>
      </w:pPr>
    </w:p>
    <w:p w:rsidR="00854DCD" w:rsidRDefault="008C2502">
      <w:pPr>
        <w:jc w:val="both"/>
        <w:rPr>
          <w:rFonts w:ascii="Arial Narrow" w:hAnsi="Arial Narrow"/>
          <w:b/>
          <w:sz w:val="24"/>
        </w:rPr>
      </w:pPr>
      <w:r>
        <w:rPr>
          <w:rFonts w:ascii="Arial Narrow" w:hAnsi="Arial Narrow"/>
          <w:b/>
          <w:sz w:val="24"/>
        </w:rPr>
        <w:t>Městská část Praha-Libuš,</w:t>
      </w:r>
    </w:p>
    <w:p w:rsidR="00854DCD" w:rsidRDefault="008C2502">
      <w:pPr>
        <w:ind w:right="99"/>
        <w:rPr>
          <w:rFonts w:ascii="Arial Narrow" w:hAnsi="Arial Narrow"/>
          <w:bCs/>
          <w:iCs/>
          <w:sz w:val="24"/>
          <w:szCs w:val="24"/>
        </w:rPr>
      </w:pPr>
      <w:r>
        <w:rPr>
          <w:rFonts w:ascii="Arial Narrow" w:hAnsi="Arial Narrow"/>
          <w:bCs/>
          <w:iCs/>
          <w:sz w:val="24"/>
          <w:szCs w:val="24"/>
        </w:rPr>
        <w:t>Libušská 35</w:t>
      </w:r>
    </w:p>
    <w:p w:rsidR="00854DCD" w:rsidRDefault="008C2502">
      <w:pPr>
        <w:ind w:right="99"/>
        <w:rPr>
          <w:rFonts w:ascii="Arial Narrow" w:hAnsi="Arial Narrow"/>
          <w:bCs/>
          <w:iCs/>
          <w:sz w:val="24"/>
          <w:szCs w:val="24"/>
        </w:rPr>
      </w:pPr>
      <w:r>
        <w:rPr>
          <w:rFonts w:ascii="Arial Narrow" w:hAnsi="Arial Narrow"/>
          <w:bCs/>
          <w:iCs/>
          <w:sz w:val="24"/>
          <w:szCs w:val="24"/>
        </w:rPr>
        <w:t>142 00 Praha 4 – Libuš</w:t>
      </w:r>
    </w:p>
    <w:p w:rsidR="00854DCD" w:rsidRDefault="008C2502">
      <w:pPr>
        <w:ind w:right="99"/>
        <w:rPr>
          <w:rFonts w:ascii="Arial Narrow" w:hAnsi="Arial Narrow"/>
          <w:bCs/>
          <w:iCs/>
          <w:sz w:val="24"/>
          <w:szCs w:val="24"/>
        </w:rPr>
      </w:pPr>
      <w:r>
        <w:rPr>
          <w:rFonts w:ascii="Arial Narrow" w:hAnsi="Arial Narrow"/>
          <w:bCs/>
          <w:iCs/>
          <w:sz w:val="24"/>
          <w:szCs w:val="24"/>
        </w:rPr>
        <w:t>IČ: 00231142, DIČ: CZ00231142</w:t>
      </w:r>
    </w:p>
    <w:p w:rsidR="00854DCD" w:rsidRDefault="008C2502">
      <w:pPr>
        <w:ind w:right="99"/>
        <w:rPr>
          <w:rFonts w:ascii="Arial Narrow" w:hAnsi="Arial Narrow"/>
          <w:bCs/>
          <w:iCs/>
          <w:sz w:val="24"/>
          <w:szCs w:val="24"/>
        </w:rPr>
      </w:pPr>
      <w:r>
        <w:rPr>
          <w:rFonts w:ascii="Arial Narrow" w:hAnsi="Arial Narrow"/>
          <w:bCs/>
          <w:iCs/>
          <w:sz w:val="24"/>
          <w:szCs w:val="24"/>
        </w:rPr>
        <w:t>zastoupena Mgr. Jiřím Koubkem, starostou městské části</w:t>
      </w:r>
    </w:p>
    <w:p w:rsidR="00854DCD" w:rsidRDefault="008C2502">
      <w:pPr>
        <w:rPr>
          <w:rFonts w:ascii="Arial Narrow" w:hAnsi="Arial Narrow"/>
          <w:sz w:val="24"/>
        </w:rPr>
      </w:pPr>
      <w:r>
        <w:rPr>
          <w:rFonts w:ascii="Arial Narrow" w:hAnsi="Arial Narrow"/>
          <w:sz w:val="24"/>
        </w:rPr>
        <w:t xml:space="preserve">Bankovní spojení: Česká spořitelna a.s.                     </w:t>
      </w:r>
    </w:p>
    <w:p w:rsidR="00854DCD" w:rsidRDefault="008C2502">
      <w:pPr>
        <w:ind w:right="99"/>
        <w:rPr>
          <w:rFonts w:ascii="Arial Narrow" w:hAnsi="Arial Narrow"/>
          <w:bCs/>
          <w:iCs/>
          <w:sz w:val="24"/>
          <w:szCs w:val="24"/>
        </w:rPr>
      </w:pPr>
      <w:proofErr w:type="spellStart"/>
      <w:r>
        <w:rPr>
          <w:rFonts w:ascii="Arial Narrow" w:hAnsi="Arial Narrow"/>
          <w:sz w:val="24"/>
        </w:rPr>
        <w:t>č.ú</w:t>
      </w:r>
      <w:proofErr w:type="spellEnd"/>
      <w:r>
        <w:rPr>
          <w:rFonts w:ascii="Arial Narrow" w:hAnsi="Arial Narrow"/>
          <w:sz w:val="24"/>
        </w:rPr>
        <w:t>.</w:t>
      </w:r>
      <w:bookmarkStart w:id="0" w:name="_GoBack"/>
      <w:bookmarkEnd w:id="0"/>
      <w:r>
        <w:rPr>
          <w:rFonts w:ascii="Arial Narrow" w:hAnsi="Arial Narrow"/>
          <w:sz w:val="24"/>
        </w:rPr>
        <w:t xml:space="preserve">  27 – 2000691349/0800</w:t>
      </w:r>
    </w:p>
    <w:p w:rsidR="00854DCD" w:rsidRDefault="00854DCD">
      <w:pPr>
        <w:jc w:val="both"/>
        <w:rPr>
          <w:rFonts w:ascii="Arial Narrow" w:hAnsi="Arial Narrow"/>
          <w:bCs/>
          <w:sz w:val="22"/>
          <w:szCs w:val="22"/>
        </w:rPr>
      </w:pPr>
    </w:p>
    <w:p w:rsidR="00854DCD" w:rsidRDefault="008C2502">
      <w:pPr>
        <w:jc w:val="both"/>
        <w:rPr>
          <w:rFonts w:ascii="Arial Narrow" w:hAnsi="Arial Narrow"/>
          <w:sz w:val="24"/>
        </w:rPr>
      </w:pPr>
      <w:r>
        <w:rPr>
          <w:rFonts w:ascii="Arial Narrow" w:hAnsi="Arial Narrow"/>
          <w:sz w:val="24"/>
        </w:rPr>
        <w:t>dále jen „poskytovatel“ na straně jedné</w:t>
      </w:r>
    </w:p>
    <w:p w:rsidR="00854DCD" w:rsidRDefault="00854DCD">
      <w:pPr>
        <w:ind w:right="99"/>
        <w:rPr>
          <w:rFonts w:ascii="Arial Narrow" w:hAnsi="Arial Narrow"/>
          <w:bCs/>
          <w:sz w:val="22"/>
          <w:szCs w:val="22"/>
        </w:rPr>
      </w:pPr>
    </w:p>
    <w:p w:rsidR="00854DCD" w:rsidRDefault="008C2502">
      <w:pPr>
        <w:rPr>
          <w:rFonts w:ascii="Arial Narrow" w:hAnsi="Arial Narrow"/>
          <w:sz w:val="24"/>
        </w:rPr>
      </w:pPr>
      <w:r>
        <w:rPr>
          <w:rFonts w:ascii="Arial Narrow" w:hAnsi="Arial Narrow"/>
          <w:sz w:val="24"/>
        </w:rPr>
        <w:t>a</w:t>
      </w:r>
    </w:p>
    <w:p w:rsidR="00854DCD" w:rsidRDefault="00854DCD">
      <w:pPr>
        <w:rPr>
          <w:rFonts w:ascii="Arial Narrow" w:hAnsi="Arial Narrow"/>
          <w:b/>
          <w:sz w:val="24"/>
        </w:rPr>
      </w:pPr>
    </w:p>
    <w:p w:rsidR="00854DCD" w:rsidRDefault="008C2502">
      <w:pPr>
        <w:rPr>
          <w:rFonts w:ascii="Arial Narrow" w:hAnsi="Arial Narrow"/>
          <w:b/>
          <w:sz w:val="24"/>
        </w:rPr>
      </w:pPr>
      <w:r>
        <w:rPr>
          <w:rFonts w:ascii="Arial Narrow" w:hAnsi="Arial Narrow"/>
          <w:b/>
          <w:sz w:val="24"/>
        </w:rPr>
        <w:t>Římskokatolická farnost u kostela sv. Jakuba Staršího Praha - Kunratice</w:t>
      </w:r>
    </w:p>
    <w:p w:rsidR="00854DCD" w:rsidRDefault="008C2502">
      <w:pPr>
        <w:rPr>
          <w:rFonts w:ascii="Arial Narrow" w:hAnsi="Arial Narrow"/>
          <w:sz w:val="24"/>
        </w:rPr>
      </w:pPr>
      <w:r>
        <w:rPr>
          <w:rFonts w:ascii="Arial Narrow" w:hAnsi="Arial Narrow"/>
          <w:sz w:val="24"/>
        </w:rPr>
        <w:t>se sídlem: Kostelní náměstí 16, 148 00 Praha 4 - Kunratice</w:t>
      </w:r>
    </w:p>
    <w:p w:rsidR="00854DCD" w:rsidRDefault="008C2502">
      <w:pPr>
        <w:rPr>
          <w:rFonts w:ascii="Arial Narrow" w:hAnsi="Arial Narrow"/>
          <w:sz w:val="24"/>
        </w:rPr>
      </w:pPr>
      <w:r>
        <w:rPr>
          <w:rFonts w:ascii="Arial Narrow" w:hAnsi="Arial Narrow"/>
          <w:sz w:val="24"/>
        </w:rPr>
        <w:t>IČ: 60433825 DIČ: CZ 60433825</w:t>
      </w:r>
    </w:p>
    <w:p w:rsidR="00854DCD" w:rsidRDefault="008C2502">
      <w:pPr>
        <w:rPr>
          <w:rFonts w:ascii="Arial Narrow" w:hAnsi="Arial Narrow"/>
          <w:sz w:val="24"/>
        </w:rPr>
      </w:pPr>
      <w:r>
        <w:rPr>
          <w:rFonts w:ascii="Arial Narrow" w:hAnsi="Arial Narrow"/>
          <w:sz w:val="24"/>
        </w:rPr>
        <w:t xml:space="preserve">zastoupena P. Vojtěchem Smolkou, farářem farnosti </w:t>
      </w:r>
    </w:p>
    <w:p w:rsidR="00854DCD" w:rsidRDefault="008C2502">
      <w:pPr>
        <w:rPr>
          <w:rFonts w:ascii="Arial Narrow" w:hAnsi="Arial Narrow"/>
          <w:sz w:val="24"/>
        </w:rPr>
      </w:pPr>
      <w:r>
        <w:rPr>
          <w:rFonts w:ascii="Arial Narrow" w:hAnsi="Arial Narrow"/>
          <w:sz w:val="24"/>
        </w:rPr>
        <w:t xml:space="preserve">Bankovní spojení: Česká spořitelna a.s.                     </w:t>
      </w:r>
    </w:p>
    <w:p w:rsidR="00854DCD" w:rsidRDefault="008C2502">
      <w:pPr>
        <w:rPr>
          <w:rFonts w:ascii="Arial Narrow" w:hAnsi="Arial Narrow"/>
          <w:sz w:val="24"/>
        </w:rPr>
      </w:pPr>
      <w:proofErr w:type="spellStart"/>
      <w:proofErr w:type="gramStart"/>
      <w:r>
        <w:rPr>
          <w:rFonts w:ascii="Arial Narrow" w:hAnsi="Arial Narrow"/>
          <w:sz w:val="24"/>
        </w:rPr>
        <w:t>č.ú</w:t>
      </w:r>
      <w:proofErr w:type="spellEnd"/>
      <w:r>
        <w:rPr>
          <w:rFonts w:ascii="Arial Narrow" w:hAnsi="Arial Narrow"/>
          <w:sz w:val="24"/>
        </w:rPr>
        <w:t>.:  76224369/0800</w:t>
      </w:r>
      <w:proofErr w:type="gramEnd"/>
      <w:r>
        <w:rPr>
          <w:rFonts w:ascii="Arial Narrow" w:hAnsi="Arial Narrow"/>
          <w:sz w:val="24"/>
        </w:rPr>
        <w:t xml:space="preserve">                     </w:t>
      </w:r>
    </w:p>
    <w:p w:rsidR="00854DCD" w:rsidRDefault="00854DCD">
      <w:pPr>
        <w:rPr>
          <w:rFonts w:ascii="Arial Narrow" w:hAnsi="Arial Narrow"/>
          <w:sz w:val="24"/>
        </w:rPr>
      </w:pPr>
    </w:p>
    <w:p w:rsidR="00854DCD" w:rsidRDefault="008C2502">
      <w:pPr>
        <w:rPr>
          <w:rFonts w:ascii="Arial Narrow" w:hAnsi="Arial Narrow"/>
          <w:sz w:val="24"/>
        </w:rPr>
      </w:pPr>
      <w:r>
        <w:rPr>
          <w:rFonts w:ascii="Arial Narrow" w:hAnsi="Arial Narrow"/>
          <w:sz w:val="24"/>
        </w:rPr>
        <w:t>dále jen „příjemce“ na straně druhé</w:t>
      </w:r>
    </w:p>
    <w:p w:rsidR="00854DCD" w:rsidRDefault="00854DCD">
      <w:pPr>
        <w:rPr>
          <w:rFonts w:ascii="Arial Narrow" w:hAnsi="Arial Narrow"/>
          <w:sz w:val="24"/>
        </w:rPr>
      </w:pPr>
    </w:p>
    <w:p w:rsidR="00854DCD" w:rsidRDefault="00854DCD">
      <w:pPr>
        <w:rPr>
          <w:rFonts w:ascii="Arial Narrow" w:hAnsi="Arial Narrow"/>
          <w:sz w:val="24"/>
        </w:rPr>
      </w:pPr>
    </w:p>
    <w:p w:rsidR="00854DCD" w:rsidRDefault="008C2502">
      <w:pPr>
        <w:jc w:val="center"/>
        <w:rPr>
          <w:rFonts w:ascii="Arial Narrow" w:hAnsi="Arial Narrow"/>
          <w:b/>
          <w:sz w:val="24"/>
        </w:rPr>
      </w:pPr>
      <w:r>
        <w:rPr>
          <w:rFonts w:ascii="Arial Narrow" w:hAnsi="Arial Narrow"/>
          <w:b/>
          <w:sz w:val="24"/>
        </w:rPr>
        <w:t>I.</w:t>
      </w:r>
    </w:p>
    <w:p w:rsidR="00854DCD" w:rsidRDefault="008C2502">
      <w:pPr>
        <w:jc w:val="center"/>
        <w:rPr>
          <w:rFonts w:ascii="Arial Narrow" w:hAnsi="Arial Narrow"/>
          <w:b/>
          <w:sz w:val="24"/>
        </w:rPr>
      </w:pPr>
      <w:r>
        <w:rPr>
          <w:rFonts w:ascii="Arial Narrow" w:hAnsi="Arial Narrow"/>
          <w:b/>
          <w:sz w:val="24"/>
        </w:rPr>
        <w:t xml:space="preserve">Účel a  výše neinvestičního transferu a </w:t>
      </w:r>
      <w:proofErr w:type="gramStart"/>
      <w:r>
        <w:rPr>
          <w:rFonts w:ascii="Arial Narrow" w:hAnsi="Arial Narrow"/>
          <w:b/>
          <w:sz w:val="24"/>
        </w:rPr>
        <w:t>doba v níž</w:t>
      </w:r>
      <w:proofErr w:type="gramEnd"/>
      <w:r>
        <w:rPr>
          <w:rFonts w:ascii="Arial Narrow" w:hAnsi="Arial Narrow"/>
          <w:b/>
          <w:sz w:val="24"/>
        </w:rPr>
        <w:t xml:space="preserve"> má být účelu dosaženo  </w:t>
      </w:r>
    </w:p>
    <w:p w:rsidR="00854DCD" w:rsidRDefault="008C2502">
      <w:pPr>
        <w:tabs>
          <w:tab w:val="left" w:pos="2160"/>
        </w:tabs>
        <w:jc w:val="both"/>
        <w:rPr>
          <w:rFonts w:ascii="Arial Narrow" w:hAnsi="Arial Narrow"/>
          <w:sz w:val="24"/>
        </w:rPr>
      </w:pPr>
      <w:r>
        <w:rPr>
          <w:rFonts w:ascii="Arial Narrow" w:hAnsi="Arial Narrow"/>
          <w:sz w:val="24"/>
        </w:rPr>
        <w:t xml:space="preserve">Poskytovatel rozhodl usnesením </w:t>
      </w:r>
      <w:r w:rsidR="00D67C29">
        <w:rPr>
          <w:rFonts w:ascii="Arial Narrow" w:hAnsi="Arial Narrow"/>
          <w:sz w:val="24"/>
        </w:rPr>
        <w:t xml:space="preserve">Zastupitelstva </w:t>
      </w:r>
      <w:r>
        <w:rPr>
          <w:rFonts w:ascii="Arial Narrow" w:hAnsi="Arial Narrow"/>
          <w:sz w:val="24"/>
        </w:rPr>
        <w:t>městské části Praha-Libuš usnesením č. …./</w:t>
      </w:r>
      <w:r w:rsidR="00D67C29">
        <w:rPr>
          <w:rFonts w:ascii="Arial Narrow" w:hAnsi="Arial Narrow"/>
          <w:sz w:val="24"/>
        </w:rPr>
        <w:t xml:space="preserve">2022 </w:t>
      </w:r>
      <w:r>
        <w:rPr>
          <w:rFonts w:ascii="Arial Narrow" w:hAnsi="Arial Narrow"/>
          <w:sz w:val="24"/>
        </w:rPr>
        <w:t xml:space="preserve">ze dne </w:t>
      </w:r>
      <w:r w:rsidR="00D67C29">
        <w:rPr>
          <w:rFonts w:ascii="Arial Narrow" w:hAnsi="Arial Narrow"/>
          <w:sz w:val="24"/>
        </w:rPr>
        <w:t>………..2022</w:t>
      </w:r>
      <w:r>
        <w:rPr>
          <w:rFonts w:ascii="Arial Narrow" w:hAnsi="Arial Narrow"/>
          <w:sz w:val="24"/>
        </w:rPr>
        <w:t xml:space="preserve"> </w:t>
      </w:r>
      <w:r>
        <w:rPr>
          <w:rFonts w:ascii="Arial Narrow" w:hAnsi="Arial Narrow"/>
          <w:sz w:val="24"/>
          <w:szCs w:val="24"/>
        </w:rPr>
        <w:t xml:space="preserve">o </w:t>
      </w:r>
      <w:r>
        <w:rPr>
          <w:rFonts w:ascii="Arial Narrow" w:hAnsi="Arial Narrow" w:cs="Arial"/>
          <w:sz w:val="24"/>
          <w:szCs w:val="24"/>
        </w:rPr>
        <w:t>přidělení účelového neinvestičního transferu určeného na rekonstrukci fary</w:t>
      </w:r>
      <w:r>
        <w:rPr>
          <w:rFonts w:ascii="Arial Narrow" w:hAnsi="Arial Narrow"/>
          <w:sz w:val="24"/>
          <w:szCs w:val="24"/>
        </w:rPr>
        <w:t xml:space="preserve"> u kostela sv. Jakuba Staršího v Praze - Kunraticích (resp. přípravné práce v rámci projektu a práce související) </w:t>
      </w:r>
      <w:r>
        <w:rPr>
          <w:rFonts w:ascii="Arial Narrow" w:hAnsi="Arial Narrow"/>
          <w:sz w:val="24"/>
        </w:rPr>
        <w:t xml:space="preserve">za předpokladu splnění podmínek uvedených v čl. II </w:t>
      </w:r>
      <w:proofErr w:type="gramStart"/>
      <w:r>
        <w:rPr>
          <w:rFonts w:ascii="Arial Narrow" w:hAnsi="Arial Narrow"/>
          <w:sz w:val="24"/>
        </w:rPr>
        <w:t>této</w:t>
      </w:r>
      <w:proofErr w:type="gramEnd"/>
      <w:r>
        <w:rPr>
          <w:rFonts w:ascii="Arial Narrow" w:hAnsi="Arial Narrow"/>
          <w:sz w:val="24"/>
        </w:rPr>
        <w:t xml:space="preserve"> smlouvy. Příjemce s takovým poskytnutím účelového neinvestičního transferu podle podmínek uvedených v čl. II. této smlouvy souhlasí.</w:t>
      </w:r>
    </w:p>
    <w:p w:rsidR="00854DCD" w:rsidRDefault="008C2502">
      <w:pPr>
        <w:numPr>
          <w:ilvl w:val="0"/>
          <w:numId w:val="6"/>
        </w:numPr>
        <w:jc w:val="both"/>
        <w:rPr>
          <w:rFonts w:ascii="Arial Narrow" w:hAnsi="Arial Narrow"/>
          <w:sz w:val="24"/>
        </w:rPr>
      </w:pPr>
      <w:r>
        <w:rPr>
          <w:rFonts w:ascii="Arial Narrow" w:hAnsi="Arial Narrow"/>
          <w:sz w:val="24"/>
        </w:rPr>
        <w:t xml:space="preserve">Poskytovatel poskytne podle odst. 1 tohoto článku této smlouvy příjemci účelový </w:t>
      </w:r>
      <w:proofErr w:type="gramStart"/>
      <w:r>
        <w:rPr>
          <w:rFonts w:ascii="Arial Narrow" w:hAnsi="Arial Narrow"/>
          <w:sz w:val="24"/>
        </w:rPr>
        <w:t>neinvestiční  transfer</w:t>
      </w:r>
      <w:proofErr w:type="gramEnd"/>
      <w:r>
        <w:rPr>
          <w:rFonts w:ascii="Arial Narrow" w:hAnsi="Arial Narrow"/>
          <w:sz w:val="24"/>
        </w:rPr>
        <w:t xml:space="preserve"> církvím a náboženským společnostem, dále jen neinvestiční transfer, z rozpočtu MČ Praha-Libuš pro rok </w:t>
      </w:r>
      <w:r w:rsidR="00D67C29">
        <w:rPr>
          <w:rFonts w:ascii="Arial Narrow" w:hAnsi="Arial Narrow"/>
          <w:sz w:val="24"/>
        </w:rPr>
        <w:t xml:space="preserve">2022 </w:t>
      </w:r>
      <w:r>
        <w:rPr>
          <w:rFonts w:ascii="Arial Narrow" w:hAnsi="Arial Narrow"/>
          <w:sz w:val="24"/>
        </w:rPr>
        <w:t xml:space="preserve">ve výši </w:t>
      </w:r>
      <w:r>
        <w:rPr>
          <w:rFonts w:ascii="Arial Narrow" w:hAnsi="Arial Narrow"/>
          <w:b/>
          <w:sz w:val="24"/>
        </w:rPr>
        <w:t>1</w:t>
      </w:r>
      <w:r w:rsidRPr="003B14C9">
        <w:rPr>
          <w:rFonts w:ascii="Arial Narrow" w:hAnsi="Arial Narrow"/>
          <w:b/>
          <w:sz w:val="24"/>
        </w:rPr>
        <w:t>0</w:t>
      </w:r>
      <w:r>
        <w:rPr>
          <w:rFonts w:ascii="Arial Narrow" w:hAnsi="Arial Narrow"/>
          <w:b/>
          <w:sz w:val="24"/>
        </w:rPr>
        <w:t>0.000,- Kč</w:t>
      </w:r>
      <w:r>
        <w:rPr>
          <w:rFonts w:ascii="Arial Narrow" w:hAnsi="Arial Narrow"/>
          <w:sz w:val="24"/>
        </w:rPr>
        <w:t xml:space="preserve"> (slovy: </w:t>
      </w:r>
      <w:proofErr w:type="spellStart"/>
      <w:r>
        <w:rPr>
          <w:rFonts w:ascii="Arial Narrow" w:hAnsi="Arial Narrow"/>
          <w:sz w:val="24"/>
        </w:rPr>
        <w:t>stotisíckorunčeských</w:t>
      </w:r>
      <w:proofErr w:type="spellEnd"/>
      <w:r>
        <w:rPr>
          <w:rFonts w:ascii="Arial Narrow" w:hAnsi="Arial Narrow"/>
          <w:sz w:val="24"/>
        </w:rPr>
        <w:t xml:space="preserve">). </w:t>
      </w:r>
    </w:p>
    <w:p w:rsidR="00854DCD" w:rsidRDefault="008C2502">
      <w:pPr>
        <w:numPr>
          <w:ilvl w:val="0"/>
          <w:numId w:val="1"/>
        </w:numPr>
        <w:jc w:val="both"/>
        <w:rPr>
          <w:rFonts w:ascii="Arial Narrow" w:hAnsi="Arial Narrow"/>
          <w:sz w:val="24"/>
        </w:rPr>
      </w:pPr>
      <w:r>
        <w:rPr>
          <w:rFonts w:ascii="Arial Narrow" w:hAnsi="Arial Narrow"/>
          <w:sz w:val="24"/>
        </w:rPr>
        <w:t>V případě, že chce příjemce použít účelový neinvestiční transfer na jiný účel, než který je uveden v bodě I. této smlouvy, oznámí toto před použitím finančních prostředků poskytovateli, který se ke změně účelu použití účelového neinvestičního transferu písemně vyjádří.</w:t>
      </w:r>
    </w:p>
    <w:p w:rsidR="00854DCD" w:rsidRDefault="008C2502">
      <w:pPr>
        <w:numPr>
          <w:ilvl w:val="0"/>
          <w:numId w:val="1"/>
        </w:numPr>
        <w:jc w:val="both"/>
        <w:rPr>
          <w:rFonts w:ascii="Arial Narrow" w:hAnsi="Arial Narrow"/>
          <w:sz w:val="24"/>
        </w:rPr>
      </w:pPr>
      <w:r>
        <w:rPr>
          <w:rFonts w:ascii="Arial Narrow" w:hAnsi="Arial Narrow"/>
          <w:sz w:val="24"/>
        </w:rPr>
        <w:t xml:space="preserve">Účelový neinvestiční transfer je poskytnut k dosažení účelu smlouvy pro rok </w:t>
      </w:r>
      <w:r w:rsidR="00D67C29">
        <w:rPr>
          <w:rFonts w:ascii="Arial Narrow" w:hAnsi="Arial Narrow"/>
          <w:sz w:val="24"/>
        </w:rPr>
        <w:t>2022</w:t>
      </w:r>
      <w:r>
        <w:rPr>
          <w:rFonts w:ascii="Arial Narrow" w:hAnsi="Arial Narrow"/>
          <w:sz w:val="24"/>
        </w:rPr>
        <w:t xml:space="preserve">. </w:t>
      </w:r>
    </w:p>
    <w:p w:rsidR="00854DCD" w:rsidRDefault="00854DCD">
      <w:pPr>
        <w:jc w:val="center"/>
        <w:rPr>
          <w:rFonts w:ascii="Arial Narrow" w:hAnsi="Arial Narrow"/>
          <w:b/>
          <w:sz w:val="24"/>
        </w:rPr>
      </w:pPr>
    </w:p>
    <w:p w:rsidR="00854DCD" w:rsidRDefault="008C2502">
      <w:pPr>
        <w:jc w:val="center"/>
        <w:rPr>
          <w:rFonts w:ascii="Arial Narrow" w:hAnsi="Arial Narrow"/>
          <w:b/>
          <w:sz w:val="24"/>
        </w:rPr>
      </w:pPr>
      <w:r>
        <w:rPr>
          <w:rFonts w:ascii="Arial Narrow" w:hAnsi="Arial Narrow"/>
          <w:b/>
          <w:sz w:val="24"/>
        </w:rPr>
        <w:t>II.</w:t>
      </w:r>
    </w:p>
    <w:p w:rsidR="00854DCD" w:rsidRDefault="008C2502">
      <w:pPr>
        <w:jc w:val="center"/>
        <w:rPr>
          <w:rFonts w:ascii="Arial Narrow" w:hAnsi="Arial Narrow"/>
          <w:b/>
          <w:sz w:val="24"/>
        </w:rPr>
      </w:pPr>
      <w:r>
        <w:rPr>
          <w:rFonts w:ascii="Arial Narrow" w:hAnsi="Arial Narrow"/>
          <w:b/>
          <w:sz w:val="24"/>
        </w:rPr>
        <w:t>Podmínky poskytnutí transferu a finanční vypořádání transferu</w:t>
      </w:r>
    </w:p>
    <w:p w:rsidR="00854DCD" w:rsidRDefault="008C2502">
      <w:pPr>
        <w:rPr>
          <w:rFonts w:ascii="Arial Narrow" w:hAnsi="Arial Narrow"/>
          <w:sz w:val="24"/>
        </w:rPr>
      </w:pPr>
      <w:r>
        <w:rPr>
          <w:rFonts w:ascii="Arial Narrow" w:hAnsi="Arial Narrow"/>
          <w:sz w:val="24"/>
        </w:rPr>
        <w:t>Příjemce je povinen</w:t>
      </w:r>
    </w:p>
    <w:p w:rsidR="00854DCD" w:rsidRDefault="008C2502">
      <w:pPr>
        <w:numPr>
          <w:ilvl w:val="0"/>
          <w:numId w:val="7"/>
        </w:numPr>
        <w:jc w:val="both"/>
        <w:rPr>
          <w:rFonts w:ascii="Arial Narrow" w:hAnsi="Arial Narrow"/>
          <w:sz w:val="24"/>
        </w:rPr>
      </w:pPr>
      <w:r>
        <w:rPr>
          <w:rFonts w:ascii="Arial Narrow" w:hAnsi="Arial Narrow"/>
          <w:sz w:val="24"/>
        </w:rPr>
        <w:t xml:space="preserve">Využít účelový neinvestiční transfer v souladu s podmínkami pro poskytnutí účelového neinvestičního transferu </w:t>
      </w:r>
      <w:r>
        <w:rPr>
          <w:rFonts w:ascii="Arial Narrow" w:hAnsi="Arial Narrow" w:cs="Arial"/>
          <w:sz w:val="24"/>
          <w:szCs w:val="24"/>
        </w:rPr>
        <w:t xml:space="preserve">na podporu činnosti církví a náboženských společností. </w:t>
      </w:r>
      <w:r>
        <w:rPr>
          <w:rFonts w:ascii="Arial Narrow" w:hAnsi="Arial Narrow"/>
          <w:sz w:val="24"/>
        </w:rPr>
        <w:t xml:space="preserve">K úhradě </w:t>
      </w:r>
      <w:r>
        <w:rPr>
          <w:rFonts w:ascii="Arial Narrow" w:hAnsi="Arial Narrow"/>
          <w:sz w:val="24"/>
        </w:rPr>
        <w:lastRenderedPageBreak/>
        <w:t xml:space="preserve">nákladů </w:t>
      </w:r>
      <w:r>
        <w:rPr>
          <w:rFonts w:ascii="Arial Narrow" w:hAnsi="Arial Narrow" w:cs="Arial"/>
          <w:sz w:val="24"/>
          <w:szCs w:val="24"/>
        </w:rPr>
        <w:t xml:space="preserve">na </w:t>
      </w:r>
      <w:r>
        <w:rPr>
          <w:rFonts w:ascii="Arial Narrow" w:hAnsi="Arial Narrow"/>
          <w:sz w:val="24"/>
          <w:szCs w:val="24"/>
        </w:rPr>
        <w:t>rekonstrukci fary u kostela sv. Jakuba Staršího v Praze – Kunraticích (resp. přípravné práce v rámci projektu a práce související)</w:t>
      </w:r>
      <w:r>
        <w:rPr>
          <w:rFonts w:ascii="Arial Narrow" w:hAnsi="Arial Narrow"/>
          <w:sz w:val="24"/>
        </w:rPr>
        <w:t>.</w:t>
      </w:r>
    </w:p>
    <w:p w:rsidR="00854DCD" w:rsidRDefault="008C2502">
      <w:pPr>
        <w:numPr>
          <w:ilvl w:val="0"/>
          <w:numId w:val="2"/>
        </w:numPr>
        <w:jc w:val="both"/>
        <w:rPr>
          <w:rFonts w:ascii="Arial Narrow" w:hAnsi="Arial Narrow"/>
          <w:sz w:val="24"/>
          <w:szCs w:val="24"/>
        </w:rPr>
      </w:pPr>
      <w:r>
        <w:rPr>
          <w:rFonts w:ascii="Arial Narrow" w:hAnsi="Arial Narrow"/>
          <w:sz w:val="24"/>
        </w:rPr>
        <w:t>jednat jako řádný hospodář při správě majetku příjemce a hospodaření s tímto majetkem</w:t>
      </w:r>
    </w:p>
    <w:p w:rsidR="00854DCD" w:rsidRDefault="008C2502">
      <w:pPr>
        <w:numPr>
          <w:ilvl w:val="0"/>
          <w:numId w:val="2"/>
        </w:numPr>
        <w:jc w:val="both"/>
        <w:rPr>
          <w:rFonts w:ascii="Arial Narrow" w:hAnsi="Arial Narrow"/>
          <w:sz w:val="24"/>
        </w:rPr>
      </w:pPr>
      <w:r>
        <w:rPr>
          <w:rFonts w:ascii="Arial Narrow" w:hAnsi="Arial Narrow"/>
          <w:sz w:val="24"/>
        </w:rPr>
        <w:t xml:space="preserve">provést podrobné, položkové a řádně doložené vyúčtování poskytnuté částky a předložit poskytovateli kopie všech souvisejících účetních dokladů nebo vyznačené související položky v účetním softwaru (nebo peněžním deníku), které byly předmětem žádosti v plném </w:t>
      </w:r>
      <w:proofErr w:type="gramStart"/>
      <w:r>
        <w:rPr>
          <w:rFonts w:ascii="Arial Narrow" w:hAnsi="Arial Narrow"/>
          <w:sz w:val="24"/>
        </w:rPr>
        <w:t>rozsahu ( tj.</w:t>
      </w:r>
      <w:proofErr w:type="gramEnd"/>
      <w:r>
        <w:rPr>
          <w:rFonts w:ascii="Arial Narrow" w:hAnsi="Arial Narrow"/>
          <w:sz w:val="24"/>
        </w:rPr>
        <w:t xml:space="preserve"> včetně nákladů, které byly spolufinancovány) ke dni 31. 12. </w:t>
      </w:r>
      <w:r w:rsidR="00D67C29">
        <w:rPr>
          <w:rFonts w:ascii="Arial Narrow" w:hAnsi="Arial Narrow"/>
          <w:sz w:val="24"/>
        </w:rPr>
        <w:t>2022</w:t>
      </w:r>
      <w:r>
        <w:rPr>
          <w:rFonts w:ascii="Arial Narrow" w:hAnsi="Arial Narrow"/>
          <w:sz w:val="24"/>
        </w:rPr>
        <w:t>.</w:t>
      </w:r>
    </w:p>
    <w:p w:rsidR="00854DCD" w:rsidRDefault="008C2502">
      <w:pPr>
        <w:numPr>
          <w:ilvl w:val="0"/>
          <w:numId w:val="2"/>
        </w:numPr>
        <w:jc w:val="both"/>
        <w:rPr>
          <w:rFonts w:ascii="Arial Narrow" w:hAnsi="Arial Narrow"/>
          <w:sz w:val="24"/>
        </w:rPr>
      </w:pPr>
      <w:r>
        <w:rPr>
          <w:rFonts w:ascii="Arial Narrow" w:hAnsi="Arial Narrow"/>
          <w:sz w:val="24"/>
        </w:rPr>
        <w:t xml:space="preserve">Vyúčtování bude poskytovateli předloženo nejpozději do 31. 12. </w:t>
      </w:r>
      <w:r w:rsidR="00D67C29">
        <w:rPr>
          <w:rFonts w:ascii="Arial Narrow" w:hAnsi="Arial Narrow"/>
          <w:sz w:val="24"/>
        </w:rPr>
        <w:t xml:space="preserve">2022 </w:t>
      </w:r>
      <w:r>
        <w:rPr>
          <w:rFonts w:ascii="Arial Narrow" w:hAnsi="Arial Narrow"/>
          <w:sz w:val="24"/>
        </w:rPr>
        <w:t xml:space="preserve">a nepoužité finanční prostředky budou vráceny na </w:t>
      </w:r>
      <w:proofErr w:type="spellStart"/>
      <w:proofErr w:type="gramStart"/>
      <w:r>
        <w:rPr>
          <w:rFonts w:ascii="Arial Narrow" w:hAnsi="Arial Narrow"/>
          <w:sz w:val="24"/>
        </w:rPr>
        <w:t>č.ú</w:t>
      </w:r>
      <w:proofErr w:type="spellEnd"/>
      <w:r>
        <w:rPr>
          <w:rFonts w:ascii="Arial Narrow" w:hAnsi="Arial Narrow"/>
          <w:sz w:val="24"/>
        </w:rPr>
        <w:t>.</w:t>
      </w:r>
      <w:proofErr w:type="gramEnd"/>
      <w:r>
        <w:rPr>
          <w:rFonts w:ascii="Arial Narrow" w:hAnsi="Arial Narrow"/>
          <w:sz w:val="24"/>
        </w:rPr>
        <w:t xml:space="preserve"> 27 – 2000691349/0800</w:t>
      </w:r>
    </w:p>
    <w:p w:rsidR="00854DCD" w:rsidRDefault="008C2502">
      <w:pPr>
        <w:numPr>
          <w:ilvl w:val="0"/>
          <w:numId w:val="2"/>
        </w:numPr>
        <w:jc w:val="both"/>
        <w:rPr>
          <w:rFonts w:ascii="Arial Narrow" w:hAnsi="Arial Narrow"/>
          <w:sz w:val="24"/>
        </w:rPr>
      </w:pPr>
      <w:r>
        <w:rPr>
          <w:rFonts w:ascii="Arial Narrow" w:hAnsi="Arial Narrow"/>
          <w:sz w:val="24"/>
        </w:rPr>
        <w:t>V případě přeměny nebo zrušení příjemce neinvestičního transferu likvidací, bude účelový neinvestiční transfer vyúčtován poskytovateli nejpozději do dne likvidace příjemce.</w:t>
      </w:r>
    </w:p>
    <w:p w:rsidR="00854DCD" w:rsidRDefault="00854DCD">
      <w:pPr>
        <w:rPr>
          <w:rFonts w:ascii="Arial Narrow" w:hAnsi="Arial Narrow"/>
          <w:b/>
          <w:sz w:val="24"/>
        </w:rPr>
      </w:pPr>
    </w:p>
    <w:p w:rsidR="00854DCD" w:rsidRDefault="008C2502">
      <w:pPr>
        <w:jc w:val="center"/>
        <w:rPr>
          <w:rFonts w:ascii="Arial Narrow" w:hAnsi="Arial Narrow"/>
          <w:b/>
          <w:sz w:val="24"/>
        </w:rPr>
      </w:pPr>
      <w:r>
        <w:rPr>
          <w:rFonts w:ascii="Arial Narrow" w:hAnsi="Arial Narrow"/>
          <w:b/>
          <w:sz w:val="24"/>
        </w:rPr>
        <w:t>III.</w:t>
      </w:r>
    </w:p>
    <w:p w:rsidR="00854DCD" w:rsidRDefault="008C2502">
      <w:pPr>
        <w:jc w:val="center"/>
        <w:rPr>
          <w:rFonts w:ascii="Arial Narrow" w:hAnsi="Arial Narrow"/>
          <w:b/>
          <w:sz w:val="24"/>
        </w:rPr>
      </w:pPr>
      <w:r>
        <w:rPr>
          <w:rFonts w:ascii="Arial Narrow" w:hAnsi="Arial Narrow"/>
          <w:b/>
          <w:sz w:val="24"/>
        </w:rPr>
        <w:t>Splatnost transferu a záloha</w:t>
      </w:r>
    </w:p>
    <w:p w:rsidR="00854DCD" w:rsidRDefault="008C2502">
      <w:pPr>
        <w:pStyle w:val="Odstavecseseznamem"/>
        <w:numPr>
          <w:ilvl w:val="0"/>
          <w:numId w:val="4"/>
        </w:numPr>
        <w:jc w:val="both"/>
        <w:rPr>
          <w:rFonts w:ascii="Arial Narrow" w:hAnsi="Arial Narrow"/>
          <w:sz w:val="24"/>
        </w:rPr>
      </w:pPr>
      <w:r>
        <w:rPr>
          <w:rFonts w:ascii="Arial Narrow" w:hAnsi="Arial Narrow"/>
          <w:sz w:val="24"/>
        </w:rPr>
        <w:t xml:space="preserve">Na poskytnutí účelového neinvestičního transferu není právní nárok. </w:t>
      </w:r>
    </w:p>
    <w:p w:rsidR="00854DCD" w:rsidRDefault="008C2502">
      <w:pPr>
        <w:pStyle w:val="Odstavecseseznamem"/>
        <w:numPr>
          <w:ilvl w:val="0"/>
          <w:numId w:val="4"/>
        </w:numPr>
        <w:jc w:val="both"/>
        <w:rPr>
          <w:rFonts w:ascii="Arial Narrow" w:hAnsi="Arial Narrow"/>
          <w:sz w:val="24"/>
        </w:rPr>
      </w:pPr>
      <w:r>
        <w:rPr>
          <w:rFonts w:ascii="Arial Narrow" w:hAnsi="Arial Narrow"/>
          <w:sz w:val="24"/>
        </w:rPr>
        <w:t>Poskytovatel poskytne příjemci účelový neinvestiční transfer jednorázově, nikoliv formou záloh. Účelový neinvestiční transfer je splatný do 10 dnů ode dne podpisu této smlouvy bezhotovostním převodem na účet příjemce, pokud se smluvní strany nedohodnou jinak.</w:t>
      </w:r>
    </w:p>
    <w:p w:rsidR="00854DCD" w:rsidRDefault="008C2502">
      <w:pPr>
        <w:pStyle w:val="Odstavecseseznamem"/>
        <w:numPr>
          <w:ilvl w:val="0"/>
          <w:numId w:val="4"/>
        </w:numPr>
        <w:jc w:val="both"/>
        <w:rPr>
          <w:rFonts w:ascii="Arial Narrow" w:hAnsi="Arial Narrow"/>
          <w:sz w:val="24"/>
        </w:rPr>
      </w:pPr>
      <w:r>
        <w:rPr>
          <w:rFonts w:ascii="Arial Narrow" w:hAnsi="Arial Narrow"/>
          <w:sz w:val="24"/>
        </w:rPr>
        <w:t>V případě nedodržení podmínek této smlouvy je poskytovatel oprávněn účelový neinvestiční transfer snížit a požadovat vrácení poskytnutých finančních prostředků nebo jejich část.</w:t>
      </w:r>
    </w:p>
    <w:p w:rsidR="00854DCD" w:rsidRDefault="008C2502">
      <w:pPr>
        <w:jc w:val="both"/>
        <w:rPr>
          <w:rFonts w:ascii="Arial Narrow" w:hAnsi="Arial Narrow"/>
          <w:sz w:val="24"/>
        </w:rPr>
      </w:pPr>
      <w:r>
        <w:rPr>
          <w:rFonts w:ascii="Arial Narrow" w:hAnsi="Arial Narrow"/>
          <w:sz w:val="24"/>
        </w:rPr>
        <w:t xml:space="preserve"> </w:t>
      </w:r>
    </w:p>
    <w:p w:rsidR="00854DCD" w:rsidRDefault="008C2502">
      <w:pPr>
        <w:spacing w:before="360"/>
        <w:jc w:val="center"/>
        <w:rPr>
          <w:rFonts w:ascii="Arial" w:hAnsi="Arial" w:cs="Arial"/>
          <w:b/>
          <w:sz w:val="24"/>
          <w:szCs w:val="24"/>
        </w:rPr>
      </w:pPr>
      <w:r>
        <w:rPr>
          <w:rFonts w:ascii="Arial" w:hAnsi="Arial" w:cs="Arial"/>
          <w:b/>
          <w:sz w:val="24"/>
          <w:szCs w:val="24"/>
        </w:rPr>
        <w:t>IV.</w:t>
      </w:r>
    </w:p>
    <w:p w:rsidR="00854DCD" w:rsidRDefault="008C2502">
      <w:pPr>
        <w:jc w:val="center"/>
        <w:rPr>
          <w:rFonts w:ascii="Arial Narrow" w:hAnsi="Arial Narrow" w:cs="Arial"/>
          <w:b/>
          <w:bCs/>
          <w:sz w:val="24"/>
          <w:szCs w:val="24"/>
        </w:rPr>
      </w:pPr>
      <w:r>
        <w:rPr>
          <w:rFonts w:ascii="Arial Narrow" w:hAnsi="Arial Narrow" w:cs="Arial"/>
          <w:b/>
          <w:bCs/>
          <w:sz w:val="24"/>
          <w:szCs w:val="24"/>
        </w:rPr>
        <w:t>Sankční ujednání</w:t>
      </w:r>
    </w:p>
    <w:p w:rsidR="00854DCD" w:rsidRDefault="008C2502">
      <w:pPr>
        <w:pStyle w:val="Zkladntextodsazen3"/>
        <w:ind w:left="0"/>
        <w:jc w:val="both"/>
        <w:rPr>
          <w:rFonts w:ascii="Arial Narrow" w:hAnsi="Arial Narrow"/>
          <w:bCs/>
          <w:sz w:val="24"/>
          <w:szCs w:val="24"/>
        </w:rPr>
      </w:pPr>
      <w:r>
        <w:rPr>
          <w:rFonts w:ascii="Arial Narrow" w:hAnsi="Arial Narrow"/>
          <w:bCs/>
          <w:sz w:val="24"/>
          <w:szCs w:val="24"/>
        </w:rPr>
        <w:t>Při porušení rozpočtové kázně (neoprávněné použití peněžních prostředků, zadržení peněžních prostředků) bude poskytovatel postupovat podle § 22 zákona č. 250/2000 Sb., o rozpočtových pravidlech územních rozpočtů, ve znění pozdějších předpisů.</w:t>
      </w:r>
    </w:p>
    <w:p w:rsidR="00854DCD" w:rsidRDefault="008C2502">
      <w:pPr>
        <w:jc w:val="both"/>
        <w:rPr>
          <w:rFonts w:ascii="Arial Narrow" w:hAnsi="Arial Narrow"/>
          <w:sz w:val="24"/>
          <w:szCs w:val="24"/>
        </w:rPr>
      </w:pPr>
      <w:r>
        <w:rPr>
          <w:rFonts w:ascii="Arial Narrow" w:hAnsi="Arial Narrow"/>
          <w:sz w:val="24"/>
          <w:szCs w:val="24"/>
        </w:rPr>
        <w:t xml:space="preserve">Při porušení některého ze závazků podle této smlouvy se příjemce zavazuje vrátit poskytovateli účelový neinvestiční transfer do deseti dnů po písemném upozornění poskytovatelem o porušení závazku, a to na účet poskytovatele uvedený v záhlaví této smlouvy. Nedodrží-li příjemce lhůtu pro vrácení </w:t>
      </w:r>
      <w:r>
        <w:rPr>
          <w:rFonts w:ascii="Arial Narrow" w:hAnsi="Arial Narrow"/>
          <w:sz w:val="24"/>
        </w:rPr>
        <w:t xml:space="preserve">účelového neinvestičního transferu </w:t>
      </w:r>
      <w:r>
        <w:rPr>
          <w:rFonts w:ascii="Arial Narrow" w:hAnsi="Arial Narrow"/>
          <w:sz w:val="24"/>
          <w:szCs w:val="24"/>
        </w:rPr>
        <w:t>podle tohoto odstavce, zavazuje se zaplatit poskytovateli vedle částky zálohy smluvní pokutu ve výši 15 % z dlužné částky a úroky z prodlení v zákonem stanovené výši. Nárok na náhradu škody tím není dotčen.</w:t>
      </w:r>
    </w:p>
    <w:p w:rsidR="00854DCD" w:rsidRDefault="00854DCD">
      <w:pPr>
        <w:jc w:val="both"/>
        <w:rPr>
          <w:rFonts w:ascii="Arial Narrow" w:hAnsi="Arial Narrow"/>
          <w:sz w:val="24"/>
          <w:szCs w:val="24"/>
        </w:rPr>
      </w:pPr>
    </w:p>
    <w:p w:rsidR="00854DCD" w:rsidRDefault="00854DCD">
      <w:pPr>
        <w:jc w:val="center"/>
        <w:rPr>
          <w:rFonts w:ascii="Arial Narrow" w:hAnsi="Arial Narrow"/>
          <w:b/>
          <w:sz w:val="24"/>
        </w:rPr>
      </w:pPr>
    </w:p>
    <w:p w:rsidR="00854DCD" w:rsidRDefault="00854DCD">
      <w:pPr>
        <w:jc w:val="center"/>
        <w:rPr>
          <w:rFonts w:ascii="Arial Narrow" w:hAnsi="Arial Narrow"/>
          <w:b/>
          <w:sz w:val="24"/>
        </w:rPr>
      </w:pPr>
    </w:p>
    <w:p w:rsidR="00854DCD" w:rsidRDefault="008C2502">
      <w:pPr>
        <w:jc w:val="center"/>
        <w:rPr>
          <w:rFonts w:ascii="Arial Narrow" w:hAnsi="Arial Narrow"/>
          <w:b/>
          <w:sz w:val="24"/>
        </w:rPr>
      </w:pPr>
      <w:r>
        <w:rPr>
          <w:rFonts w:ascii="Arial Narrow" w:hAnsi="Arial Narrow"/>
          <w:b/>
          <w:sz w:val="24"/>
        </w:rPr>
        <w:t>V.</w:t>
      </w:r>
    </w:p>
    <w:p w:rsidR="00854DCD" w:rsidRDefault="008C2502">
      <w:pPr>
        <w:jc w:val="center"/>
        <w:rPr>
          <w:rFonts w:ascii="Arial Narrow" w:hAnsi="Arial Narrow"/>
          <w:b/>
          <w:sz w:val="24"/>
        </w:rPr>
      </w:pPr>
      <w:r>
        <w:rPr>
          <w:rFonts w:ascii="Arial Narrow" w:hAnsi="Arial Narrow"/>
          <w:b/>
          <w:sz w:val="24"/>
        </w:rPr>
        <w:t>Daňové povinnosti</w:t>
      </w:r>
    </w:p>
    <w:p w:rsidR="00854DCD" w:rsidRDefault="008C2502">
      <w:pPr>
        <w:pStyle w:val="Zkladntext"/>
        <w:rPr>
          <w:rFonts w:ascii="Arial Narrow" w:hAnsi="Arial Narrow"/>
        </w:rPr>
      </w:pPr>
      <w:r>
        <w:rPr>
          <w:rFonts w:ascii="Arial Narrow" w:hAnsi="Arial Narrow"/>
        </w:rPr>
        <w:t xml:space="preserve">   Přijetí účelového neinvestičního transferu příjemcem se řídí platnými daňovými předpisy (zejm. zákonem č.586/1992 Sb. v platném znění o dani z příjmu).</w:t>
      </w:r>
    </w:p>
    <w:p w:rsidR="00854DCD" w:rsidRDefault="00854DCD">
      <w:pPr>
        <w:jc w:val="center"/>
        <w:rPr>
          <w:rFonts w:ascii="Arial Narrow" w:hAnsi="Arial Narrow"/>
          <w:b/>
          <w:sz w:val="24"/>
        </w:rPr>
      </w:pPr>
    </w:p>
    <w:p w:rsidR="00854DCD" w:rsidRDefault="00854DCD">
      <w:pPr>
        <w:rPr>
          <w:rFonts w:ascii="Arial Narrow" w:hAnsi="Arial Narrow"/>
          <w:b/>
          <w:sz w:val="24"/>
        </w:rPr>
      </w:pPr>
    </w:p>
    <w:p w:rsidR="00854DCD" w:rsidRDefault="008C2502">
      <w:pPr>
        <w:jc w:val="center"/>
        <w:rPr>
          <w:rFonts w:ascii="Arial Narrow" w:hAnsi="Arial Narrow"/>
          <w:b/>
          <w:sz w:val="24"/>
        </w:rPr>
      </w:pPr>
      <w:r>
        <w:rPr>
          <w:rFonts w:ascii="Arial Narrow" w:hAnsi="Arial Narrow"/>
          <w:b/>
          <w:sz w:val="24"/>
        </w:rPr>
        <w:t>VI.</w:t>
      </w:r>
    </w:p>
    <w:p w:rsidR="00854DCD" w:rsidRDefault="008C2502">
      <w:pPr>
        <w:jc w:val="center"/>
        <w:rPr>
          <w:rFonts w:ascii="Arial Narrow" w:hAnsi="Arial Narrow"/>
          <w:b/>
          <w:sz w:val="24"/>
        </w:rPr>
      </w:pPr>
      <w:r>
        <w:rPr>
          <w:rFonts w:ascii="Arial Narrow" w:hAnsi="Arial Narrow"/>
          <w:b/>
          <w:sz w:val="24"/>
        </w:rPr>
        <w:t>Závěrečná ustanovení</w:t>
      </w:r>
    </w:p>
    <w:p w:rsidR="00854DCD" w:rsidRDefault="008C2502">
      <w:pPr>
        <w:numPr>
          <w:ilvl w:val="0"/>
          <w:numId w:val="8"/>
        </w:numPr>
        <w:jc w:val="both"/>
        <w:rPr>
          <w:rFonts w:ascii="Arial Narrow" w:hAnsi="Arial Narrow"/>
          <w:sz w:val="24"/>
        </w:rPr>
      </w:pPr>
      <w:r>
        <w:rPr>
          <w:rFonts w:ascii="Arial Narrow" w:hAnsi="Arial Narrow"/>
          <w:sz w:val="24"/>
        </w:rPr>
        <w:t xml:space="preserve">Vzájemná práva a povinnosti subjektů smlouvy neupravená touto smlouvou se řídí občanským zákoníkem a dalšími právními předpisy České republiky souvisejícími. </w:t>
      </w:r>
    </w:p>
    <w:p w:rsidR="00854DCD" w:rsidRDefault="008C2502">
      <w:pPr>
        <w:numPr>
          <w:ilvl w:val="0"/>
          <w:numId w:val="3"/>
        </w:numPr>
        <w:jc w:val="both"/>
        <w:rPr>
          <w:rFonts w:ascii="Arial Narrow" w:hAnsi="Arial Narrow"/>
          <w:sz w:val="24"/>
        </w:rPr>
      </w:pPr>
      <w:r>
        <w:rPr>
          <w:rFonts w:ascii="Arial Narrow" w:hAnsi="Arial Narrow"/>
          <w:sz w:val="24"/>
        </w:rPr>
        <w:t>Změny a doplňky této smlouvy mohou být provedeny pouze formou písemného dodatku k ní podepsaného oběma subjekty smlouvy.</w:t>
      </w:r>
    </w:p>
    <w:p w:rsidR="00854DCD" w:rsidRDefault="008C2502">
      <w:pPr>
        <w:numPr>
          <w:ilvl w:val="0"/>
          <w:numId w:val="3"/>
        </w:numPr>
        <w:jc w:val="both"/>
        <w:rPr>
          <w:rFonts w:ascii="Arial Narrow" w:hAnsi="Arial Narrow"/>
          <w:sz w:val="24"/>
        </w:rPr>
      </w:pPr>
      <w:r>
        <w:rPr>
          <w:rFonts w:ascii="Arial Narrow" w:hAnsi="Arial Narrow"/>
          <w:sz w:val="24"/>
        </w:rPr>
        <w:t>Subjekty smlouvy prohlašují, že souhlasí se zveřejněním této smlouvy na www stránkách MČ Praha – Libuš.</w:t>
      </w:r>
    </w:p>
    <w:p w:rsidR="00854DCD" w:rsidRPr="00157EFE" w:rsidRDefault="008C2502">
      <w:pPr>
        <w:numPr>
          <w:ilvl w:val="0"/>
          <w:numId w:val="3"/>
        </w:numPr>
        <w:jc w:val="both"/>
        <w:rPr>
          <w:rFonts w:ascii="Arial Narrow" w:hAnsi="Arial Narrow"/>
          <w:sz w:val="24"/>
          <w:szCs w:val="24"/>
        </w:rPr>
      </w:pPr>
      <w:r w:rsidRPr="00157EFE">
        <w:rPr>
          <w:rFonts w:ascii="Arial Narrow" w:hAnsi="Arial Narrow" w:cs="Arial"/>
          <w:sz w:val="24"/>
          <w:szCs w:val="24"/>
        </w:rPr>
        <w:lastRenderedPageBreak/>
        <w:t>Smluvní strany výslovně sjednávají, že uveřejnění této smlouvy v registru smluv dle zákona č. 340/2015 Sb., o zvláštních podmínkách účinnosti některých smluv, uveřejňování těchto smluv a o registru smluv (zákon o registru smluv) zajistí Městská část Praha-Libuš</w:t>
      </w:r>
    </w:p>
    <w:p w:rsidR="00854DCD" w:rsidRDefault="008C2502">
      <w:pPr>
        <w:numPr>
          <w:ilvl w:val="0"/>
          <w:numId w:val="3"/>
        </w:numPr>
        <w:jc w:val="both"/>
        <w:rPr>
          <w:rFonts w:ascii="Arial Narrow" w:hAnsi="Arial Narrow"/>
          <w:sz w:val="24"/>
        </w:rPr>
      </w:pPr>
      <w:r>
        <w:rPr>
          <w:rFonts w:ascii="Arial Narrow" w:hAnsi="Arial Narrow"/>
          <w:sz w:val="24"/>
        </w:rPr>
        <w:t>Smlouva se vyhotovuje ve dvou autorizovaných stejnopisech. Autorizace se provede připojením otisku úředního razítka poskytovatele a příjemce společně s podpisy oprávněných osob.</w:t>
      </w:r>
    </w:p>
    <w:p w:rsidR="00854DCD" w:rsidRDefault="008C2502">
      <w:pPr>
        <w:numPr>
          <w:ilvl w:val="0"/>
          <w:numId w:val="3"/>
        </w:numPr>
        <w:jc w:val="both"/>
        <w:rPr>
          <w:rFonts w:ascii="Arial Narrow" w:hAnsi="Arial Narrow"/>
          <w:sz w:val="24"/>
        </w:rPr>
      </w:pPr>
      <w:r>
        <w:rPr>
          <w:rFonts w:ascii="Arial Narrow" w:hAnsi="Arial Narrow"/>
          <w:sz w:val="24"/>
        </w:rPr>
        <w:t>Subjekty smlouvy prohlašují, že si text smlouvy přečetly, zcela s ním souhlasí a na důkaz toho tuto smlouvu podepisují.</w:t>
      </w:r>
    </w:p>
    <w:p w:rsidR="00854DCD" w:rsidRDefault="00854DCD">
      <w:pPr>
        <w:jc w:val="both"/>
        <w:rPr>
          <w:rFonts w:ascii="Arial Narrow" w:hAnsi="Arial Narrow"/>
          <w:sz w:val="24"/>
        </w:rPr>
      </w:pPr>
    </w:p>
    <w:p w:rsidR="00854DCD" w:rsidRDefault="00854DCD">
      <w:pPr>
        <w:ind w:left="360"/>
        <w:jc w:val="both"/>
        <w:rPr>
          <w:rFonts w:ascii="Arial Narrow" w:hAnsi="Arial Narrow"/>
          <w:sz w:val="24"/>
        </w:rPr>
      </w:pPr>
    </w:p>
    <w:p w:rsidR="00854DCD" w:rsidRDefault="00854DCD">
      <w:pPr>
        <w:rPr>
          <w:rFonts w:ascii="Arial Narrow" w:hAnsi="Arial Narrow"/>
          <w:sz w:val="24"/>
        </w:rPr>
      </w:pPr>
    </w:p>
    <w:p w:rsidR="00854DCD" w:rsidRDefault="00854DCD">
      <w:pPr>
        <w:rPr>
          <w:rFonts w:ascii="Arial Narrow" w:hAnsi="Arial Narrow"/>
          <w:sz w:val="24"/>
        </w:rPr>
      </w:pPr>
    </w:p>
    <w:p w:rsidR="00854DCD" w:rsidRDefault="008C2502">
      <w:pPr>
        <w:rPr>
          <w:rFonts w:ascii="Arial Narrow" w:hAnsi="Arial Narrow"/>
          <w:sz w:val="24"/>
        </w:rPr>
      </w:pPr>
      <w:r>
        <w:rPr>
          <w:rFonts w:ascii="Arial Narrow" w:hAnsi="Arial Narrow"/>
          <w:sz w:val="24"/>
        </w:rPr>
        <w:t>V Praze-Libuši  dne ………</w:t>
      </w:r>
      <w:proofErr w:type="gramStart"/>
      <w:r>
        <w:rPr>
          <w:rFonts w:ascii="Arial Narrow" w:hAnsi="Arial Narrow"/>
          <w:sz w:val="24"/>
        </w:rPr>
        <w:t xml:space="preserve">….. </w:t>
      </w:r>
      <w:r w:rsidR="00D67C29">
        <w:rPr>
          <w:rFonts w:ascii="Arial Narrow" w:hAnsi="Arial Narrow"/>
          <w:sz w:val="24"/>
        </w:rPr>
        <w:t>2022</w:t>
      </w:r>
      <w:proofErr w:type="gramEnd"/>
      <w:r>
        <w:rPr>
          <w:rFonts w:ascii="Arial Narrow" w:hAnsi="Arial Narrow"/>
          <w:sz w:val="24"/>
        </w:rPr>
        <w:t>.</w:t>
      </w:r>
    </w:p>
    <w:p w:rsidR="00854DCD" w:rsidRDefault="00854DCD">
      <w:pPr>
        <w:rPr>
          <w:rFonts w:ascii="Arial Narrow" w:hAnsi="Arial Narrow"/>
          <w:sz w:val="24"/>
        </w:rPr>
      </w:pPr>
    </w:p>
    <w:p w:rsidR="00854DCD" w:rsidRDefault="00854DCD">
      <w:pPr>
        <w:rPr>
          <w:rFonts w:ascii="Arial Narrow" w:hAnsi="Arial Narrow"/>
          <w:sz w:val="24"/>
        </w:rPr>
      </w:pPr>
    </w:p>
    <w:p w:rsidR="00854DCD" w:rsidRDefault="00854DCD">
      <w:pPr>
        <w:rPr>
          <w:rFonts w:ascii="Arial Narrow" w:hAnsi="Arial Narrow"/>
          <w:sz w:val="24"/>
        </w:rPr>
      </w:pPr>
    </w:p>
    <w:p w:rsidR="00854DCD" w:rsidRDefault="008C2502">
      <w:pPr>
        <w:rPr>
          <w:rFonts w:ascii="Arial Narrow" w:hAnsi="Arial Narrow"/>
          <w:sz w:val="24"/>
        </w:rPr>
      </w:pPr>
      <w:r>
        <w:rPr>
          <w:rFonts w:ascii="Arial Narrow" w:hAnsi="Arial Narrow"/>
          <w:sz w:val="24"/>
        </w:rPr>
        <w:t>______________________________</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t xml:space="preserve">        ___________________________</w:t>
      </w:r>
    </w:p>
    <w:p w:rsidR="00854DCD" w:rsidRDefault="008C2502">
      <w:pPr>
        <w:rPr>
          <w:rFonts w:ascii="Arial Narrow" w:hAnsi="Arial Narrow"/>
          <w:b/>
          <w:sz w:val="24"/>
        </w:rPr>
      </w:pPr>
      <w:r>
        <w:rPr>
          <w:rFonts w:ascii="Arial Narrow" w:hAnsi="Arial Narrow"/>
          <w:b/>
          <w:sz w:val="24"/>
        </w:rPr>
        <w:t xml:space="preserve">          </w:t>
      </w:r>
      <w:proofErr w:type="gramStart"/>
      <w:r>
        <w:rPr>
          <w:rFonts w:ascii="Arial Narrow" w:hAnsi="Arial Narrow"/>
          <w:b/>
          <w:sz w:val="24"/>
        </w:rPr>
        <w:t>příjemce                                                                                                  poskytovatel</w:t>
      </w:r>
      <w:proofErr w:type="gramEnd"/>
      <w:r>
        <w:rPr>
          <w:rFonts w:ascii="Arial Narrow" w:hAnsi="Arial Narrow"/>
          <w:b/>
          <w:sz w:val="24"/>
        </w:rPr>
        <w:t xml:space="preserve"> </w:t>
      </w:r>
    </w:p>
    <w:p w:rsidR="00854DCD" w:rsidRDefault="008C2502">
      <w:pPr>
        <w:rPr>
          <w:rFonts w:ascii="Arial Narrow" w:hAnsi="Arial Narrow"/>
          <w:sz w:val="22"/>
          <w:szCs w:val="22"/>
        </w:rPr>
      </w:pPr>
      <w:r>
        <w:rPr>
          <w:rFonts w:ascii="Arial Narrow" w:hAnsi="Arial Narrow"/>
          <w:sz w:val="24"/>
        </w:rPr>
        <w:t xml:space="preserve"> p. Vojtěch Smolka</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t xml:space="preserve">                  Mgr. Jiří Koubek </w:t>
      </w:r>
    </w:p>
    <w:p w:rsidR="00854DCD" w:rsidRDefault="008C2502">
      <w:pPr>
        <w:rPr>
          <w:rFonts w:ascii="Arial Narrow" w:hAnsi="Arial Narrow"/>
          <w:sz w:val="22"/>
          <w:szCs w:val="22"/>
        </w:rPr>
      </w:pPr>
      <w:r>
        <w:rPr>
          <w:rFonts w:ascii="Arial Narrow" w:hAnsi="Arial Narrow"/>
          <w:sz w:val="22"/>
          <w:szCs w:val="22"/>
        </w:rPr>
        <w:t xml:space="preserve">        </w:t>
      </w:r>
      <w:r>
        <w:rPr>
          <w:rFonts w:ascii="Arial Narrow" w:hAnsi="Arial Narrow"/>
          <w:sz w:val="24"/>
        </w:rPr>
        <w:t xml:space="preserve">farář </w:t>
      </w:r>
      <w:proofErr w:type="gramStart"/>
      <w:r>
        <w:rPr>
          <w:rFonts w:ascii="Arial Narrow" w:hAnsi="Arial Narrow"/>
          <w:sz w:val="24"/>
        </w:rPr>
        <w:t>farnosti</w:t>
      </w:r>
      <w:r>
        <w:rPr>
          <w:rFonts w:ascii="Arial Narrow" w:hAnsi="Arial Narrow"/>
          <w:sz w:val="22"/>
          <w:szCs w:val="22"/>
        </w:rPr>
        <w:t xml:space="preserve">                                                                                             starosta</w:t>
      </w:r>
      <w:proofErr w:type="gramEnd"/>
      <w:r>
        <w:rPr>
          <w:rFonts w:ascii="Arial Narrow" w:hAnsi="Arial Narrow"/>
          <w:sz w:val="22"/>
          <w:szCs w:val="22"/>
        </w:rPr>
        <w:t xml:space="preserve"> MČ Praha–Libuš</w:t>
      </w:r>
    </w:p>
    <w:p w:rsidR="00854DCD" w:rsidRDefault="00854DCD">
      <w:pPr>
        <w:rPr>
          <w:rFonts w:ascii="Arial Narrow" w:hAnsi="Arial Narrow"/>
          <w:sz w:val="22"/>
          <w:szCs w:val="22"/>
        </w:rPr>
      </w:pPr>
    </w:p>
    <w:p w:rsidR="00854DCD" w:rsidRDefault="00854DCD">
      <w:pPr>
        <w:jc w:val="both"/>
        <w:rPr>
          <w:rFonts w:ascii="Arial Narrow" w:hAnsi="Arial Narrow"/>
          <w:sz w:val="24"/>
        </w:rPr>
      </w:pPr>
    </w:p>
    <w:p w:rsidR="00854DCD" w:rsidRDefault="00854DCD">
      <w:pPr>
        <w:rPr>
          <w:rFonts w:ascii="Arial Narrow" w:hAnsi="Arial Narrow"/>
          <w:sz w:val="24"/>
        </w:rPr>
      </w:pPr>
    </w:p>
    <w:p w:rsidR="00854DCD" w:rsidRDefault="00854DCD">
      <w:pPr>
        <w:ind w:left="720"/>
        <w:jc w:val="both"/>
        <w:rPr>
          <w:rFonts w:ascii="Arial Narrow" w:hAnsi="Arial Narrow"/>
          <w:sz w:val="24"/>
        </w:rPr>
      </w:pPr>
    </w:p>
    <w:tbl>
      <w:tblPr>
        <w:tblW w:w="10320" w:type="dxa"/>
        <w:tblLayout w:type="fixed"/>
        <w:tblCellMar>
          <w:left w:w="30" w:type="dxa"/>
          <w:right w:w="30" w:type="dxa"/>
        </w:tblCellMar>
        <w:tblLook w:val="0000" w:firstRow="0" w:lastRow="0" w:firstColumn="0" w:lastColumn="0" w:noHBand="0" w:noVBand="0"/>
      </w:tblPr>
      <w:tblGrid>
        <w:gridCol w:w="8256"/>
        <w:gridCol w:w="1032"/>
        <w:gridCol w:w="1032"/>
      </w:tblGrid>
      <w:tr w:rsidR="00854DCD">
        <w:trPr>
          <w:trHeight w:val="290"/>
        </w:trPr>
        <w:tc>
          <w:tcPr>
            <w:tcW w:w="8256" w:type="dxa"/>
          </w:tcPr>
          <w:p w:rsidR="00854DCD" w:rsidRDefault="00854DCD">
            <w:pPr>
              <w:widowControl w:val="0"/>
              <w:rPr>
                <w:rFonts w:ascii="Calibri" w:eastAsiaTheme="minorHAnsi" w:hAnsi="Calibri" w:cs="Calibri"/>
                <w:sz w:val="22"/>
                <w:szCs w:val="22"/>
                <w:lang w:eastAsia="en-US"/>
              </w:rPr>
            </w:pPr>
          </w:p>
        </w:tc>
        <w:tc>
          <w:tcPr>
            <w:tcW w:w="1032" w:type="dxa"/>
          </w:tcPr>
          <w:p w:rsidR="00854DCD" w:rsidRDefault="00854DCD">
            <w:pPr>
              <w:widowControl w:val="0"/>
              <w:jc w:val="right"/>
              <w:rPr>
                <w:rFonts w:ascii="Calibri" w:eastAsiaTheme="minorHAnsi" w:hAnsi="Calibri" w:cs="Calibri"/>
                <w:sz w:val="22"/>
                <w:szCs w:val="22"/>
                <w:lang w:eastAsia="en-US"/>
              </w:rPr>
            </w:pPr>
          </w:p>
        </w:tc>
        <w:tc>
          <w:tcPr>
            <w:tcW w:w="1032" w:type="dxa"/>
          </w:tcPr>
          <w:p w:rsidR="00854DCD" w:rsidRDefault="00854DCD">
            <w:pPr>
              <w:widowControl w:val="0"/>
              <w:jc w:val="right"/>
              <w:rPr>
                <w:rFonts w:ascii="Calibri" w:eastAsiaTheme="minorHAnsi" w:hAnsi="Calibri" w:cs="Calibri"/>
                <w:sz w:val="22"/>
                <w:szCs w:val="22"/>
                <w:lang w:eastAsia="en-US"/>
              </w:rPr>
            </w:pPr>
          </w:p>
        </w:tc>
      </w:tr>
      <w:tr w:rsidR="00854DCD">
        <w:trPr>
          <w:trHeight w:val="290"/>
        </w:trPr>
        <w:tc>
          <w:tcPr>
            <w:tcW w:w="10320" w:type="dxa"/>
            <w:gridSpan w:val="3"/>
          </w:tcPr>
          <w:p w:rsidR="00854DCD" w:rsidRDefault="00854DCD">
            <w:pPr>
              <w:widowControl w:val="0"/>
              <w:rPr>
                <w:rFonts w:ascii="Calibri" w:eastAsiaTheme="minorHAnsi" w:hAnsi="Calibri" w:cs="Calibri"/>
                <w:sz w:val="22"/>
                <w:szCs w:val="22"/>
                <w:lang w:eastAsia="en-US"/>
              </w:rPr>
            </w:pPr>
          </w:p>
        </w:tc>
      </w:tr>
      <w:tr w:rsidR="00854DCD">
        <w:trPr>
          <w:trHeight w:val="290"/>
        </w:trPr>
        <w:tc>
          <w:tcPr>
            <w:tcW w:w="10320" w:type="dxa"/>
            <w:gridSpan w:val="3"/>
          </w:tcPr>
          <w:p w:rsidR="00854DCD" w:rsidRDefault="00854DCD">
            <w:pPr>
              <w:widowControl w:val="0"/>
              <w:rPr>
                <w:rFonts w:ascii="Calibri" w:eastAsiaTheme="minorHAnsi" w:hAnsi="Calibri" w:cs="Calibri"/>
                <w:sz w:val="22"/>
                <w:szCs w:val="22"/>
                <w:lang w:eastAsia="en-US"/>
              </w:rPr>
            </w:pPr>
          </w:p>
        </w:tc>
      </w:tr>
      <w:tr w:rsidR="00854DCD">
        <w:trPr>
          <w:trHeight w:val="290"/>
        </w:trPr>
        <w:tc>
          <w:tcPr>
            <w:tcW w:w="9288" w:type="dxa"/>
            <w:gridSpan w:val="2"/>
          </w:tcPr>
          <w:p w:rsidR="00854DCD" w:rsidRDefault="00854DCD">
            <w:pPr>
              <w:widowControl w:val="0"/>
              <w:rPr>
                <w:rFonts w:ascii="Calibri" w:eastAsiaTheme="minorHAnsi" w:hAnsi="Calibri" w:cs="Calibri"/>
                <w:sz w:val="22"/>
                <w:szCs w:val="22"/>
                <w:lang w:eastAsia="en-US"/>
              </w:rPr>
            </w:pPr>
          </w:p>
        </w:tc>
        <w:tc>
          <w:tcPr>
            <w:tcW w:w="1032" w:type="dxa"/>
          </w:tcPr>
          <w:p w:rsidR="00854DCD" w:rsidRDefault="00854DCD">
            <w:pPr>
              <w:widowControl w:val="0"/>
              <w:jc w:val="right"/>
              <w:rPr>
                <w:rFonts w:ascii="Calibri" w:eastAsiaTheme="minorHAnsi" w:hAnsi="Calibri" w:cs="Calibri"/>
                <w:sz w:val="22"/>
                <w:szCs w:val="22"/>
                <w:lang w:eastAsia="en-US"/>
              </w:rPr>
            </w:pPr>
          </w:p>
        </w:tc>
      </w:tr>
      <w:tr w:rsidR="00854DCD">
        <w:trPr>
          <w:trHeight w:val="290"/>
        </w:trPr>
        <w:tc>
          <w:tcPr>
            <w:tcW w:w="9288" w:type="dxa"/>
            <w:gridSpan w:val="2"/>
          </w:tcPr>
          <w:p w:rsidR="00854DCD" w:rsidRDefault="00854DCD">
            <w:pPr>
              <w:widowControl w:val="0"/>
              <w:rPr>
                <w:rFonts w:ascii="Calibri" w:eastAsiaTheme="minorHAnsi" w:hAnsi="Calibri" w:cs="Calibri"/>
                <w:sz w:val="22"/>
                <w:szCs w:val="22"/>
                <w:lang w:eastAsia="en-US"/>
              </w:rPr>
            </w:pPr>
          </w:p>
        </w:tc>
        <w:tc>
          <w:tcPr>
            <w:tcW w:w="1032" w:type="dxa"/>
          </w:tcPr>
          <w:p w:rsidR="00854DCD" w:rsidRDefault="00854DCD">
            <w:pPr>
              <w:widowControl w:val="0"/>
              <w:jc w:val="right"/>
              <w:rPr>
                <w:rFonts w:ascii="Calibri" w:eastAsiaTheme="minorHAnsi" w:hAnsi="Calibri" w:cs="Calibri"/>
                <w:sz w:val="22"/>
                <w:szCs w:val="22"/>
                <w:lang w:eastAsia="en-US"/>
              </w:rPr>
            </w:pPr>
          </w:p>
        </w:tc>
      </w:tr>
      <w:tr w:rsidR="00854DCD">
        <w:trPr>
          <w:trHeight w:val="290"/>
        </w:trPr>
        <w:tc>
          <w:tcPr>
            <w:tcW w:w="8256" w:type="dxa"/>
          </w:tcPr>
          <w:p w:rsidR="00854DCD" w:rsidRDefault="00854DCD">
            <w:pPr>
              <w:widowControl w:val="0"/>
              <w:rPr>
                <w:rFonts w:ascii="Calibri" w:eastAsiaTheme="minorHAnsi" w:hAnsi="Calibri" w:cs="Calibri"/>
                <w:sz w:val="22"/>
                <w:szCs w:val="22"/>
                <w:lang w:eastAsia="en-US"/>
              </w:rPr>
            </w:pPr>
          </w:p>
        </w:tc>
        <w:tc>
          <w:tcPr>
            <w:tcW w:w="1032" w:type="dxa"/>
          </w:tcPr>
          <w:p w:rsidR="00854DCD" w:rsidRDefault="00854DCD">
            <w:pPr>
              <w:widowControl w:val="0"/>
              <w:jc w:val="right"/>
              <w:rPr>
                <w:rFonts w:ascii="Calibri" w:eastAsiaTheme="minorHAnsi" w:hAnsi="Calibri" w:cs="Calibri"/>
                <w:sz w:val="22"/>
                <w:szCs w:val="22"/>
                <w:lang w:eastAsia="en-US"/>
              </w:rPr>
            </w:pPr>
          </w:p>
        </w:tc>
        <w:tc>
          <w:tcPr>
            <w:tcW w:w="1032" w:type="dxa"/>
          </w:tcPr>
          <w:p w:rsidR="00854DCD" w:rsidRDefault="00854DCD">
            <w:pPr>
              <w:widowControl w:val="0"/>
              <w:jc w:val="right"/>
              <w:rPr>
                <w:rFonts w:ascii="Calibri" w:eastAsiaTheme="minorHAnsi" w:hAnsi="Calibri" w:cs="Calibri"/>
                <w:sz w:val="22"/>
                <w:szCs w:val="22"/>
                <w:lang w:eastAsia="en-US"/>
              </w:rPr>
            </w:pPr>
          </w:p>
        </w:tc>
      </w:tr>
      <w:tr w:rsidR="00854DCD">
        <w:trPr>
          <w:trHeight w:val="290"/>
        </w:trPr>
        <w:tc>
          <w:tcPr>
            <w:tcW w:w="10320" w:type="dxa"/>
            <w:gridSpan w:val="3"/>
          </w:tcPr>
          <w:p w:rsidR="00854DCD" w:rsidRDefault="00854DCD">
            <w:pPr>
              <w:widowControl w:val="0"/>
              <w:rPr>
                <w:rFonts w:ascii="Calibri" w:eastAsiaTheme="minorHAnsi" w:hAnsi="Calibri" w:cs="Calibri"/>
                <w:sz w:val="22"/>
                <w:szCs w:val="22"/>
                <w:lang w:eastAsia="en-US"/>
              </w:rPr>
            </w:pPr>
          </w:p>
        </w:tc>
      </w:tr>
      <w:tr w:rsidR="00854DCD">
        <w:trPr>
          <w:trHeight w:val="290"/>
        </w:trPr>
        <w:tc>
          <w:tcPr>
            <w:tcW w:w="10320" w:type="dxa"/>
            <w:gridSpan w:val="3"/>
          </w:tcPr>
          <w:p w:rsidR="00854DCD" w:rsidRDefault="00854DCD">
            <w:pPr>
              <w:widowControl w:val="0"/>
              <w:rPr>
                <w:rFonts w:ascii="Calibri" w:eastAsiaTheme="minorHAnsi" w:hAnsi="Calibri" w:cs="Calibri"/>
                <w:sz w:val="22"/>
                <w:szCs w:val="22"/>
                <w:lang w:eastAsia="en-US"/>
              </w:rPr>
            </w:pPr>
          </w:p>
        </w:tc>
      </w:tr>
      <w:tr w:rsidR="00854DCD">
        <w:trPr>
          <w:trHeight w:val="290"/>
        </w:trPr>
        <w:tc>
          <w:tcPr>
            <w:tcW w:w="9288" w:type="dxa"/>
            <w:gridSpan w:val="2"/>
          </w:tcPr>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p w:rsidR="00854DCD" w:rsidRDefault="00854DCD">
            <w:pPr>
              <w:widowControl w:val="0"/>
              <w:rPr>
                <w:rFonts w:ascii="Calibri" w:eastAsiaTheme="minorHAnsi" w:hAnsi="Calibri" w:cs="Calibri"/>
                <w:sz w:val="22"/>
                <w:szCs w:val="22"/>
                <w:lang w:eastAsia="en-US"/>
              </w:rPr>
            </w:pPr>
          </w:p>
        </w:tc>
        <w:tc>
          <w:tcPr>
            <w:tcW w:w="1032" w:type="dxa"/>
          </w:tcPr>
          <w:p w:rsidR="00854DCD" w:rsidRDefault="00854DCD">
            <w:pPr>
              <w:widowControl w:val="0"/>
              <w:jc w:val="right"/>
              <w:rPr>
                <w:rFonts w:ascii="Calibri" w:eastAsiaTheme="minorHAnsi" w:hAnsi="Calibri" w:cs="Calibri"/>
                <w:sz w:val="22"/>
                <w:szCs w:val="22"/>
                <w:lang w:eastAsia="en-US"/>
              </w:rPr>
            </w:pPr>
          </w:p>
        </w:tc>
      </w:tr>
      <w:tr w:rsidR="00854DCD">
        <w:trPr>
          <w:trHeight w:val="290"/>
        </w:trPr>
        <w:tc>
          <w:tcPr>
            <w:tcW w:w="9288" w:type="dxa"/>
            <w:gridSpan w:val="2"/>
          </w:tcPr>
          <w:p w:rsidR="00854DCD" w:rsidRDefault="00854DCD">
            <w:pPr>
              <w:widowControl w:val="0"/>
              <w:rPr>
                <w:rFonts w:ascii="Calibri" w:eastAsiaTheme="minorHAnsi" w:hAnsi="Calibri" w:cs="Calibri"/>
                <w:color w:val="000000"/>
                <w:sz w:val="22"/>
                <w:szCs w:val="22"/>
                <w:lang w:eastAsia="en-US"/>
              </w:rPr>
            </w:pPr>
          </w:p>
        </w:tc>
        <w:tc>
          <w:tcPr>
            <w:tcW w:w="1032" w:type="dxa"/>
          </w:tcPr>
          <w:p w:rsidR="00854DCD" w:rsidRDefault="00854DCD">
            <w:pPr>
              <w:widowControl w:val="0"/>
              <w:jc w:val="right"/>
              <w:rPr>
                <w:rFonts w:ascii="Calibri" w:eastAsiaTheme="minorHAnsi" w:hAnsi="Calibri" w:cs="Calibri"/>
                <w:color w:val="000000"/>
                <w:sz w:val="22"/>
                <w:szCs w:val="22"/>
                <w:lang w:eastAsia="en-US"/>
              </w:rPr>
            </w:pPr>
          </w:p>
        </w:tc>
      </w:tr>
    </w:tbl>
    <w:p w:rsidR="00854DCD" w:rsidRDefault="00854DCD">
      <w:pPr>
        <w:jc w:val="both"/>
        <w:rPr>
          <w:rFonts w:ascii="Arial Narrow" w:hAnsi="Arial Narrow"/>
          <w:sz w:val="24"/>
          <w:szCs w:val="24"/>
        </w:rPr>
      </w:pPr>
    </w:p>
    <w:p w:rsidR="00854DCD" w:rsidRDefault="00854DCD">
      <w:pPr>
        <w:rPr>
          <w:rFonts w:ascii="Arial Narrow" w:hAnsi="Arial Narrow"/>
          <w:sz w:val="24"/>
        </w:rPr>
      </w:pPr>
    </w:p>
    <w:p w:rsidR="00854DCD" w:rsidRDefault="00854DCD">
      <w:pPr>
        <w:rPr>
          <w:rFonts w:ascii="Arial Narrow" w:hAnsi="Arial Narrow"/>
          <w:sz w:val="24"/>
        </w:rPr>
      </w:pPr>
    </w:p>
    <w:p w:rsidR="00854DCD" w:rsidRDefault="00854DCD">
      <w:pPr>
        <w:ind w:left="360"/>
        <w:rPr>
          <w:rFonts w:ascii="Arial Narrow" w:hAnsi="Arial Narrow"/>
          <w:sz w:val="24"/>
        </w:rPr>
      </w:pPr>
    </w:p>
    <w:p w:rsidR="00854DCD" w:rsidRDefault="00854DCD">
      <w:pPr>
        <w:jc w:val="both"/>
      </w:pPr>
    </w:p>
    <w:sectPr w:rsidR="00854DCD">
      <w:footerReference w:type="default" r:id="rId9"/>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A89" w:rsidRDefault="003A7A89">
      <w:r>
        <w:separator/>
      </w:r>
    </w:p>
  </w:endnote>
  <w:endnote w:type="continuationSeparator" w:id="0">
    <w:p w:rsidR="003A7A89" w:rsidRDefault="003A7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692332"/>
      <w:docPartObj>
        <w:docPartGallery w:val="Page Numbers (Bottom of Page)"/>
        <w:docPartUnique/>
      </w:docPartObj>
    </w:sdtPr>
    <w:sdtEndPr/>
    <w:sdtContent>
      <w:p w:rsidR="00854DCD" w:rsidRDefault="008C2502">
        <w:pPr>
          <w:pStyle w:val="Zpat"/>
          <w:jc w:val="center"/>
        </w:pPr>
        <w:r>
          <w:fldChar w:fldCharType="begin"/>
        </w:r>
        <w:r>
          <w:instrText>PAGE</w:instrText>
        </w:r>
        <w:r>
          <w:fldChar w:fldCharType="separate"/>
        </w:r>
        <w:r w:rsidR="00157EFE">
          <w:rPr>
            <w:noProof/>
          </w:rPr>
          <w:t>4</w:t>
        </w:r>
        <w:r>
          <w:fldChar w:fldCharType="end"/>
        </w:r>
      </w:p>
    </w:sdtContent>
  </w:sdt>
  <w:p w:rsidR="00854DCD" w:rsidRDefault="00854D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A89" w:rsidRDefault="003A7A89">
      <w:r>
        <w:separator/>
      </w:r>
    </w:p>
  </w:footnote>
  <w:footnote w:type="continuationSeparator" w:id="0">
    <w:p w:rsidR="003A7A89" w:rsidRDefault="003A7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D1816"/>
    <w:multiLevelType w:val="multilevel"/>
    <w:tmpl w:val="4CD6243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2B8423AD"/>
    <w:multiLevelType w:val="multilevel"/>
    <w:tmpl w:val="9B4AF1E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A9C37CF"/>
    <w:multiLevelType w:val="multilevel"/>
    <w:tmpl w:val="60A885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74024D09"/>
    <w:multiLevelType w:val="multilevel"/>
    <w:tmpl w:val="1E3689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77E67ADF"/>
    <w:multiLevelType w:val="multilevel"/>
    <w:tmpl w:val="12746A8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1"/>
  </w:num>
  <w:num w:numId="3">
    <w:abstractNumId w:val="3"/>
  </w:num>
  <w:num w:numId="4">
    <w:abstractNumId w:val="4"/>
  </w:num>
  <w:num w:numId="5">
    <w:abstractNumId w:val="2"/>
  </w:num>
  <w:num w:numId="6">
    <w:abstractNumId w:val="0"/>
    <w:lvlOverride w:ilvl="0">
      <w:startOverride w:val="1"/>
    </w:lvlOverride>
  </w:num>
  <w:num w:numId="7">
    <w:abstractNumId w:val="1"/>
    <w:lvlOverride w:ilvl="0">
      <w:startOverride w:val="1"/>
    </w:lvlOverride>
  </w:num>
  <w:num w:numId="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DCD"/>
    <w:rsid w:val="00157EFE"/>
    <w:rsid w:val="003A7A89"/>
    <w:rsid w:val="003B14C9"/>
    <w:rsid w:val="004425AC"/>
    <w:rsid w:val="00710DB5"/>
    <w:rsid w:val="00854DCD"/>
    <w:rsid w:val="008925F4"/>
    <w:rsid w:val="008C2502"/>
    <w:rsid w:val="00A6120B"/>
    <w:rsid w:val="00D67C29"/>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656C9"/>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semiHidden/>
    <w:qFormat/>
    <w:rsid w:val="000656C9"/>
    <w:rPr>
      <w:rFonts w:ascii="Times New Roman" w:eastAsia="Times New Roman" w:hAnsi="Times New Roman" w:cs="Times New Roman"/>
      <w:sz w:val="24"/>
      <w:szCs w:val="20"/>
      <w:lang w:eastAsia="cs-CZ"/>
    </w:rPr>
  </w:style>
  <w:style w:type="character" w:customStyle="1" w:styleId="TextbublinyChar">
    <w:name w:val="Text bubliny Char"/>
    <w:basedOn w:val="Standardnpsmoodstavce"/>
    <w:link w:val="Textbubliny"/>
    <w:uiPriority w:val="99"/>
    <w:semiHidden/>
    <w:qFormat/>
    <w:rsid w:val="00230362"/>
    <w:rPr>
      <w:rFonts w:ascii="Tahoma" w:eastAsia="Times New Roman" w:hAnsi="Tahoma" w:cs="Tahoma"/>
      <w:sz w:val="16"/>
      <w:szCs w:val="16"/>
      <w:lang w:eastAsia="cs-CZ"/>
    </w:rPr>
  </w:style>
  <w:style w:type="character" w:customStyle="1" w:styleId="Zkladntextodsazen3Char">
    <w:name w:val="Základní text odsazený 3 Char"/>
    <w:basedOn w:val="Standardnpsmoodstavce"/>
    <w:link w:val="Zkladntextodsazen3"/>
    <w:uiPriority w:val="99"/>
    <w:semiHidden/>
    <w:qFormat/>
    <w:rsid w:val="00E16F9F"/>
    <w:rPr>
      <w:rFonts w:ascii="Times New Roman" w:eastAsia="Times New Roman" w:hAnsi="Times New Roman" w:cs="Times New Roman"/>
      <w:sz w:val="16"/>
      <w:szCs w:val="16"/>
      <w:lang w:eastAsia="cs-CZ"/>
    </w:rPr>
  </w:style>
  <w:style w:type="character" w:customStyle="1" w:styleId="ZhlavChar">
    <w:name w:val="Záhlaví Char"/>
    <w:basedOn w:val="Standardnpsmoodstavce"/>
    <w:link w:val="Zhlav"/>
    <w:uiPriority w:val="99"/>
    <w:semiHidden/>
    <w:qFormat/>
    <w:rsid w:val="00751257"/>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qFormat/>
    <w:rsid w:val="00751257"/>
    <w:rPr>
      <w:rFonts w:ascii="Times New Roman" w:eastAsia="Times New Roman" w:hAnsi="Times New Roman" w:cs="Times New Roman"/>
      <w:sz w:val="20"/>
      <w:szCs w:val="20"/>
      <w:lang w:eastAsia="cs-CZ"/>
    </w:rPr>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semiHidden/>
    <w:unhideWhenUsed/>
    <w:rsid w:val="000656C9"/>
    <w:pPr>
      <w:jc w:val="both"/>
    </w:pPr>
    <w:rPr>
      <w:sz w:val="24"/>
    </w:rPr>
  </w:style>
  <w:style w:type="paragraph" w:styleId="Seznam">
    <w:name w:val="List"/>
    <w:basedOn w:val="Normln"/>
    <w:rsid w:val="002F0E18"/>
    <w:pPr>
      <w:ind w:left="283" w:hanging="283"/>
      <w:textAlignment w:val="baseline"/>
    </w:p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qFormat/>
    <w:pPr>
      <w:suppressLineNumbers/>
    </w:pPr>
    <w:rPr>
      <w:rFonts w:cs="Lohit Devanagari"/>
    </w:rPr>
  </w:style>
  <w:style w:type="paragraph" w:styleId="Textbubliny">
    <w:name w:val="Balloon Text"/>
    <w:basedOn w:val="Normln"/>
    <w:link w:val="TextbublinyChar"/>
    <w:uiPriority w:val="99"/>
    <w:semiHidden/>
    <w:unhideWhenUsed/>
    <w:qFormat/>
    <w:rsid w:val="00230362"/>
    <w:rPr>
      <w:rFonts w:ascii="Tahoma" w:hAnsi="Tahoma" w:cs="Tahoma"/>
      <w:sz w:val="16"/>
      <w:szCs w:val="16"/>
    </w:rPr>
  </w:style>
  <w:style w:type="paragraph" w:styleId="Odstavecseseznamem">
    <w:name w:val="List Paragraph"/>
    <w:basedOn w:val="Normln"/>
    <w:uiPriority w:val="34"/>
    <w:qFormat/>
    <w:rsid w:val="000717A3"/>
    <w:pPr>
      <w:ind w:left="720"/>
      <w:contextualSpacing/>
    </w:pPr>
  </w:style>
  <w:style w:type="paragraph" w:styleId="Zkladntextodsazen3">
    <w:name w:val="Body Text Indent 3"/>
    <w:basedOn w:val="Normln"/>
    <w:link w:val="Zkladntextodsazen3Char"/>
    <w:uiPriority w:val="99"/>
    <w:semiHidden/>
    <w:unhideWhenUsed/>
    <w:qFormat/>
    <w:rsid w:val="00E16F9F"/>
    <w:pPr>
      <w:spacing w:after="120"/>
      <w:ind w:left="283"/>
    </w:pPr>
    <w:rPr>
      <w:sz w:val="16"/>
      <w:szCs w:val="16"/>
    </w:rPr>
  </w:style>
  <w:style w:type="paragraph" w:customStyle="1" w:styleId="Zhlavazpat">
    <w:name w:val="Záhlaví a zápatí"/>
    <w:basedOn w:val="Normln"/>
    <w:qFormat/>
  </w:style>
  <w:style w:type="paragraph" w:styleId="Zhlav">
    <w:name w:val="header"/>
    <w:basedOn w:val="Normln"/>
    <w:link w:val="ZhlavChar"/>
    <w:uiPriority w:val="99"/>
    <w:semiHidden/>
    <w:unhideWhenUsed/>
    <w:rsid w:val="00751257"/>
    <w:pPr>
      <w:tabs>
        <w:tab w:val="center" w:pos="4536"/>
        <w:tab w:val="right" w:pos="9072"/>
      </w:tabs>
    </w:pPr>
  </w:style>
  <w:style w:type="paragraph" w:styleId="Zpat">
    <w:name w:val="footer"/>
    <w:basedOn w:val="Normln"/>
    <w:link w:val="ZpatChar"/>
    <w:uiPriority w:val="99"/>
    <w:unhideWhenUsed/>
    <w:rsid w:val="00751257"/>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656C9"/>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basedOn w:val="Standardnpsmoodstavce"/>
    <w:link w:val="Zkladntext"/>
    <w:semiHidden/>
    <w:qFormat/>
    <w:rsid w:val="000656C9"/>
    <w:rPr>
      <w:rFonts w:ascii="Times New Roman" w:eastAsia="Times New Roman" w:hAnsi="Times New Roman" w:cs="Times New Roman"/>
      <w:sz w:val="24"/>
      <w:szCs w:val="20"/>
      <w:lang w:eastAsia="cs-CZ"/>
    </w:rPr>
  </w:style>
  <w:style w:type="character" w:customStyle="1" w:styleId="TextbublinyChar">
    <w:name w:val="Text bubliny Char"/>
    <w:basedOn w:val="Standardnpsmoodstavce"/>
    <w:link w:val="Textbubliny"/>
    <w:uiPriority w:val="99"/>
    <w:semiHidden/>
    <w:qFormat/>
    <w:rsid w:val="00230362"/>
    <w:rPr>
      <w:rFonts w:ascii="Tahoma" w:eastAsia="Times New Roman" w:hAnsi="Tahoma" w:cs="Tahoma"/>
      <w:sz w:val="16"/>
      <w:szCs w:val="16"/>
      <w:lang w:eastAsia="cs-CZ"/>
    </w:rPr>
  </w:style>
  <w:style w:type="character" w:customStyle="1" w:styleId="Zkladntextodsazen3Char">
    <w:name w:val="Základní text odsazený 3 Char"/>
    <w:basedOn w:val="Standardnpsmoodstavce"/>
    <w:link w:val="Zkladntextodsazen3"/>
    <w:uiPriority w:val="99"/>
    <w:semiHidden/>
    <w:qFormat/>
    <w:rsid w:val="00E16F9F"/>
    <w:rPr>
      <w:rFonts w:ascii="Times New Roman" w:eastAsia="Times New Roman" w:hAnsi="Times New Roman" w:cs="Times New Roman"/>
      <w:sz w:val="16"/>
      <w:szCs w:val="16"/>
      <w:lang w:eastAsia="cs-CZ"/>
    </w:rPr>
  </w:style>
  <w:style w:type="character" w:customStyle="1" w:styleId="ZhlavChar">
    <w:name w:val="Záhlaví Char"/>
    <w:basedOn w:val="Standardnpsmoodstavce"/>
    <w:link w:val="Zhlav"/>
    <w:uiPriority w:val="99"/>
    <w:semiHidden/>
    <w:qFormat/>
    <w:rsid w:val="00751257"/>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qFormat/>
    <w:rsid w:val="00751257"/>
    <w:rPr>
      <w:rFonts w:ascii="Times New Roman" w:eastAsia="Times New Roman" w:hAnsi="Times New Roman" w:cs="Times New Roman"/>
      <w:sz w:val="20"/>
      <w:szCs w:val="20"/>
      <w:lang w:eastAsia="cs-CZ"/>
    </w:rPr>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semiHidden/>
    <w:unhideWhenUsed/>
    <w:rsid w:val="000656C9"/>
    <w:pPr>
      <w:jc w:val="both"/>
    </w:pPr>
    <w:rPr>
      <w:sz w:val="24"/>
    </w:rPr>
  </w:style>
  <w:style w:type="paragraph" w:styleId="Seznam">
    <w:name w:val="List"/>
    <w:basedOn w:val="Normln"/>
    <w:rsid w:val="002F0E18"/>
    <w:pPr>
      <w:ind w:left="283" w:hanging="283"/>
      <w:textAlignment w:val="baseline"/>
    </w:p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qFormat/>
    <w:pPr>
      <w:suppressLineNumbers/>
    </w:pPr>
    <w:rPr>
      <w:rFonts w:cs="Lohit Devanagari"/>
    </w:rPr>
  </w:style>
  <w:style w:type="paragraph" w:styleId="Textbubliny">
    <w:name w:val="Balloon Text"/>
    <w:basedOn w:val="Normln"/>
    <w:link w:val="TextbublinyChar"/>
    <w:uiPriority w:val="99"/>
    <w:semiHidden/>
    <w:unhideWhenUsed/>
    <w:qFormat/>
    <w:rsid w:val="00230362"/>
    <w:rPr>
      <w:rFonts w:ascii="Tahoma" w:hAnsi="Tahoma" w:cs="Tahoma"/>
      <w:sz w:val="16"/>
      <w:szCs w:val="16"/>
    </w:rPr>
  </w:style>
  <w:style w:type="paragraph" w:styleId="Odstavecseseznamem">
    <w:name w:val="List Paragraph"/>
    <w:basedOn w:val="Normln"/>
    <w:uiPriority w:val="34"/>
    <w:qFormat/>
    <w:rsid w:val="000717A3"/>
    <w:pPr>
      <w:ind w:left="720"/>
      <w:contextualSpacing/>
    </w:pPr>
  </w:style>
  <w:style w:type="paragraph" w:styleId="Zkladntextodsazen3">
    <w:name w:val="Body Text Indent 3"/>
    <w:basedOn w:val="Normln"/>
    <w:link w:val="Zkladntextodsazen3Char"/>
    <w:uiPriority w:val="99"/>
    <w:semiHidden/>
    <w:unhideWhenUsed/>
    <w:qFormat/>
    <w:rsid w:val="00E16F9F"/>
    <w:pPr>
      <w:spacing w:after="120"/>
      <w:ind w:left="283"/>
    </w:pPr>
    <w:rPr>
      <w:sz w:val="16"/>
      <w:szCs w:val="16"/>
    </w:rPr>
  </w:style>
  <w:style w:type="paragraph" w:customStyle="1" w:styleId="Zhlavazpat">
    <w:name w:val="Záhlaví a zápatí"/>
    <w:basedOn w:val="Normln"/>
    <w:qFormat/>
  </w:style>
  <w:style w:type="paragraph" w:styleId="Zhlav">
    <w:name w:val="header"/>
    <w:basedOn w:val="Normln"/>
    <w:link w:val="ZhlavChar"/>
    <w:uiPriority w:val="99"/>
    <w:semiHidden/>
    <w:unhideWhenUsed/>
    <w:rsid w:val="00751257"/>
    <w:pPr>
      <w:tabs>
        <w:tab w:val="center" w:pos="4536"/>
        <w:tab w:val="right" w:pos="9072"/>
      </w:tabs>
    </w:pPr>
  </w:style>
  <w:style w:type="paragraph" w:styleId="Zpat">
    <w:name w:val="footer"/>
    <w:basedOn w:val="Normln"/>
    <w:link w:val="ZpatChar"/>
    <w:uiPriority w:val="99"/>
    <w:unhideWhenUsed/>
    <w:rsid w:val="00751257"/>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CF5C7-EBF6-470A-A5BC-0B82BC176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897</Words>
  <Characters>5295</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
    </vt:vector>
  </TitlesOfParts>
  <Company>ÚMČ Praha - Klánovice</Company>
  <LinksUpToDate>false</LinksUpToDate>
  <CharactersWithSpaces>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Stanislav Dušek</dc:creator>
  <cp:lastModifiedBy>Jindřich Sochůrek</cp:lastModifiedBy>
  <cp:revision>3</cp:revision>
  <cp:lastPrinted>2015-02-26T07:58:00Z</cp:lastPrinted>
  <dcterms:created xsi:type="dcterms:W3CDTF">2021-12-21T09:39:00Z</dcterms:created>
  <dcterms:modified xsi:type="dcterms:W3CDTF">2021-12-21T09:44:00Z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ÚMČ Praha - Klánovice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