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91" w:rsidRPr="00971791" w:rsidRDefault="00971791" w:rsidP="00971791">
      <w:pPr>
        <w:jc w:val="center"/>
        <w:rPr>
          <w:b/>
          <w:sz w:val="32"/>
          <w:szCs w:val="32"/>
        </w:rPr>
      </w:pPr>
      <w:r w:rsidRPr="00971791">
        <w:rPr>
          <w:b/>
          <w:sz w:val="32"/>
          <w:szCs w:val="32"/>
        </w:rPr>
        <w:t xml:space="preserve">Důvodová zpráva </w:t>
      </w:r>
    </w:p>
    <w:p w:rsidR="00971791" w:rsidRDefault="00971791" w:rsidP="00971791">
      <w:pPr>
        <w:jc w:val="center"/>
        <w:rPr>
          <w:b/>
          <w:i/>
          <w:sz w:val="32"/>
          <w:szCs w:val="32"/>
        </w:rPr>
      </w:pPr>
    </w:p>
    <w:p w:rsidR="00971791" w:rsidRPr="003F7EC4" w:rsidRDefault="00F04232" w:rsidP="0097179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Návrh </w:t>
      </w:r>
      <w:r w:rsidR="00745AC8" w:rsidRPr="003F7EC4">
        <w:rPr>
          <w:b/>
          <w:i/>
          <w:sz w:val="32"/>
          <w:szCs w:val="32"/>
        </w:rPr>
        <w:t>Střednědob</w:t>
      </w:r>
      <w:r>
        <w:rPr>
          <w:b/>
          <w:i/>
          <w:sz w:val="32"/>
          <w:szCs w:val="32"/>
        </w:rPr>
        <w:t>ého</w:t>
      </w:r>
      <w:r w:rsidR="00745AC8" w:rsidRPr="003F7EC4">
        <w:rPr>
          <w:b/>
          <w:i/>
          <w:sz w:val="32"/>
          <w:szCs w:val="32"/>
        </w:rPr>
        <w:t xml:space="preserve"> výhled</w:t>
      </w:r>
      <w:r>
        <w:rPr>
          <w:b/>
          <w:i/>
          <w:sz w:val="32"/>
          <w:szCs w:val="32"/>
        </w:rPr>
        <w:t>u</w:t>
      </w:r>
      <w:bookmarkStart w:id="0" w:name="_GoBack"/>
      <w:bookmarkEnd w:id="0"/>
      <w:r w:rsidR="00745AC8" w:rsidRPr="003F7EC4">
        <w:rPr>
          <w:b/>
          <w:i/>
          <w:sz w:val="32"/>
          <w:szCs w:val="32"/>
        </w:rPr>
        <w:t xml:space="preserve"> rozpočtu</w:t>
      </w:r>
      <w:r w:rsidR="00B410E6" w:rsidRPr="003F7EC4">
        <w:rPr>
          <w:b/>
          <w:i/>
          <w:sz w:val="32"/>
          <w:szCs w:val="32"/>
        </w:rPr>
        <w:t xml:space="preserve"> do roku 2027</w:t>
      </w:r>
    </w:p>
    <w:p w:rsidR="00971791" w:rsidRPr="003F7EC4" w:rsidRDefault="00971791" w:rsidP="00971791">
      <w:pPr>
        <w:rPr>
          <w:sz w:val="24"/>
        </w:rPr>
      </w:pPr>
    </w:p>
    <w:p w:rsidR="00971791" w:rsidRPr="003F7EC4" w:rsidRDefault="003F7EC4" w:rsidP="00971791">
      <w:pPr>
        <w:jc w:val="both"/>
        <w:rPr>
          <w:sz w:val="24"/>
        </w:rPr>
      </w:pPr>
      <w:r>
        <w:rPr>
          <w:sz w:val="24"/>
        </w:rPr>
        <w:t>Návrh střednědobého</w:t>
      </w:r>
      <w:r w:rsidR="009B1723" w:rsidRPr="003F7EC4">
        <w:rPr>
          <w:sz w:val="24"/>
        </w:rPr>
        <w:t xml:space="preserve"> výhled</w:t>
      </w:r>
      <w:r>
        <w:rPr>
          <w:sz w:val="24"/>
        </w:rPr>
        <w:t>u</w:t>
      </w:r>
      <w:r w:rsidR="008D072C" w:rsidRPr="003F7EC4">
        <w:rPr>
          <w:sz w:val="24"/>
        </w:rPr>
        <w:t xml:space="preserve"> rozpočtu (</w:t>
      </w:r>
      <w:r w:rsidR="009B1723" w:rsidRPr="003F7EC4">
        <w:rPr>
          <w:sz w:val="24"/>
        </w:rPr>
        <w:t>dále jen rozpočtový výhled</w:t>
      </w:r>
      <w:r w:rsidR="00745AC8" w:rsidRPr="003F7EC4">
        <w:rPr>
          <w:sz w:val="24"/>
        </w:rPr>
        <w:t xml:space="preserve">) </w:t>
      </w:r>
      <w:r w:rsidR="00971791" w:rsidRPr="003F7EC4">
        <w:rPr>
          <w:sz w:val="24"/>
        </w:rPr>
        <w:t>byl sestaven v souladu se zákonem č. 250/2000 Sb., o rozpočtových pravidlech územ</w:t>
      </w:r>
      <w:r w:rsidR="00B410E6" w:rsidRPr="003F7EC4">
        <w:rPr>
          <w:sz w:val="24"/>
        </w:rPr>
        <w:t xml:space="preserve">ních rozpočtů, v platném znění. </w:t>
      </w:r>
      <w:r w:rsidR="00971791" w:rsidRPr="003F7EC4">
        <w:rPr>
          <w:sz w:val="24"/>
        </w:rPr>
        <w:t xml:space="preserve">Zákonem není stanoven rozsah ani podoba rozpočtového výhledu, rozpočtový výhled má sloužit jako orientační ukazatel při zpracování rozpočtu na jednotlivé kalendářní roky a jeho sestavení by mělo obsahovat souhrnné ukazatele, kterými jsou třídy položek. Rozpočtový výhled obsahuje souhrnné základní údaje </w:t>
      </w:r>
      <w:r w:rsidR="00B410E6" w:rsidRPr="003F7EC4">
        <w:rPr>
          <w:sz w:val="24"/>
        </w:rPr>
        <w:t xml:space="preserve">dle § 3 odst. 2 </w:t>
      </w:r>
      <w:r w:rsidR="00971791" w:rsidRPr="003F7EC4">
        <w:rPr>
          <w:sz w:val="24"/>
        </w:rPr>
        <w:t xml:space="preserve">o příjmech a výdajích, zejména o dlouhodobějších závazcích a pohledávkách, o finančních zdrojích a potřebách dlouhodobě realizovaných záměrů. 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 xml:space="preserve">Při jeho sestavení se vychází ze skutečnosti uplynulých let, podkladem k jeho sestavení jsou zejména uzavřené smluvní vztahy a přijaté závazky. Příjmy by neměly být nadhodnoceny a výdaje zase podhodnoceny. </w:t>
      </w:r>
    </w:p>
    <w:p w:rsidR="00971791" w:rsidRPr="003F7EC4" w:rsidRDefault="003F7EC4" w:rsidP="00971791">
      <w:pPr>
        <w:jc w:val="both"/>
        <w:rPr>
          <w:sz w:val="24"/>
        </w:rPr>
      </w:pPr>
      <w:r>
        <w:rPr>
          <w:sz w:val="24"/>
        </w:rPr>
        <w:t>Návrh</w:t>
      </w:r>
      <w:r w:rsidR="009A3D77" w:rsidRPr="003F7EC4">
        <w:rPr>
          <w:sz w:val="24"/>
        </w:rPr>
        <w:t xml:space="preserve"> rozpočtov</w:t>
      </w:r>
      <w:r>
        <w:rPr>
          <w:sz w:val="24"/>
        </w:rPr>
        <w:t>ého</w:t>
      </w:r>
      <w:r w:rsidR="009A3D77" w:rsidRPr="003F7EC4">
        <w:rPr>
          <w:sz w:val="24"/>
        </w:rPr>
        <w:t xml:space="preserve"> výhled</w:t>
      </w:r>
      <w:r>
        <w:rPr>
          <w:sz w:val="24"/>
        </w:rPr>
        <w:t>u</w:t>
      </w:r>
      <w:r w:rsidR="00971791" w:rsidRPr="003F7EC4">
        <w:rPr>
          <w:sz w:val="24"/>
        </w:rPr>
        <w:t xml:space="preserve"> je zpracován ve vazbě na platnou rozpočtovou skladbu (vyhláška MF č. 323/2002 Sb., ve znění pozdějších předpisů), je zpracován velice konzervativně.  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>Základním prvkem, od kterého se odvíjí výše běžných a kapitálových výdajů, jsou zdroje městské části Praha Libuš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>Se zapojením cizích zdrojů a převodem prostředků z minulých let v hlavní činnosti se v rozpočtovém výhledu neuvažuje.</w:t>
      </w:r>
    </w:p>
    <w:p w:rsidR="00971791" w:rsidRPr="003F7EC4" w:rsidRDefault="00971791" w:rsidP="00971791">
      <w:pPr>
        <w:jc w:val="both"/>
        <w:rPr>
          <w:sz w:val="24"/>
        </w:rPr>
      </w:pPr>
    </w:p>
    <w:p w:rsidR="00971791" w:rsidRPr="003F7EC4" w:rsidRDefault="00971791" w:rsidP="00971791">
      <w:pPr>
        <w:jc w:val="both"/>
        <w:rPr>
          <w:b/>
          <w:sz w:val="24"/>
          <w:u w:val="single"/>
        </w:rPr>
      </w:pPr>
      <w:r w:rsidRPr="003F7EC4">
        <w:rPr>
          <w:b/>
          <w:sz w:val="24"/>
          <w:u w:val="single"/>
        </w:rPr>
        <w:t>Příjmy městské části :</w:t>
      </w:r>
    </w:p>
    <w:p w:rsidR="00971791" w:rsidRPr="003F7EC4" w:rsidRDefault="00971791" w:rsidP="00971791">
      <w:pPr>
        <w:jc w:val="both"/>
        <w:rPr>
          <w:b/>
          <w:sz w:val="24"/>
          <w:u w:val="single"/>
        </w:rPr>
      </w:pPr>
    </w:p>
    <w:p w:rsidR="00971791" w:rsidRPr="003F7EC4" w:rsidRDefault="00971791" w:rsidP="00971791">
      <w:pPr>
        <w:jc w:val="both"/>
        <w:rPr>
          <w:b/>
          <w:i/>
          <w:sz w:val="24"/>
        </w:rPr>
      </w:pPr>
      <w:r w:rsidRPr="003F7EC4">
        <w:rPr>
          <w:b/>
          <w:i/>
          <w:sz w:val="24"/>
        </w:rPr>
        <w:t xml:space="preserve">Daňové příjmy: 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>Výše daňových příjmů se navrhuje s ohledem na návrh 20</w:t>
      </w:r>
      <w:r w:rsidR="00B431C2" w:rsidRPr="003F7EC4">
        <w:rPr>
          <w:sz w:val="24"/>
        </w:rPr>
        <w:t>2</w:t>
      </w:r>
      <w:r w:rsidR="00B410E6" w:rsidRPr="003F7EC4">
        <w:rPr>
          <w:sz w:val="24"/>
        </w:rPr>
        <w:t>1</w:t>
      </w:r>
      <w:r w:rsidRPr="003F7EC4">
        <w:rPr>
          <w:sz w:val="24"/>
        </w:rPr>
        <w:t xml:space="preserve">. U daňových příjmů se očekává </w:t>
      </w:r>
      <w:r w:rsidR="00B375B0" w:rsidRPr="003F7EC4">
        <w:rPr>
          <w:sz w:val="24"/>
        </w:rPr>
        <w:t>snížení</w:t>
      </w:r>
      <w:r w:rsidRPr="003F7EC4">
        <w:rPr>
          <w:sz w:val="24"/>
        </w:rPr>
        <w:t xml:space="preserve"> zejména v  oblasti </w:t>
      </w:r>
      <w:r w:rsidR="000A2BBF" w:rsidRPr="003F7EC4">
        <w:rPr>
          <w:sz w:val="24"/>
        </w:rPr>
        <w:t xml:space="preserve">poplatku za zábor veřejného prostranství a z místního poplatku ze vstupného. </w:t>
      </w:r>
    </w:p>
    <w:p w:rsidR="00971791" w:rsidRPr="003F7EC4" w:rsidRDefault="00971791" w:rsidP="00971791">
      <w:pPr>
        <w:jc w:val="both"/>
        <w:rPr>
          <w:sz w:val="24"/>
        </w:rPr>
      </w:pP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b/>
          <w:i/>
          <w:sz w:val="24"/>
        </w:rPr>
        <w:t>Nedaňové příjmy</w:t>
      </w:r>
      <w:r w:rsidRPr="003F7EC4">
        <w:rPr>
          <w:sz w:val="24"/>
        </w:rPr>
        <w:t>:</w:t>
      </w:r>
    </w:p>
    <w:p w:rsidR="00B074A5" w:rsidRPr="003F7EC4" w:rsidRDefault="00971791" w:rsidP="00B074A5">
      <w:pPr>
        <w:jc w:val="both"/>
        <w:rPr>
          <w:sz w:val="24"/>
        </w:rPr>
      </w:pPr>
      <w:r w:rsidRPr="003F7EC4">
        <w:rPr>
          <w:sz w:val="24"/>
        </w:rPr>
        <w:t xml:space="preserve"> </w:t>
      </w:r>
      <w:r w:rsidR="00B074A5" w:rsidRPr="003F7EC4">
        <w:rPr>
          <w:sz w:val="24"/>
        </w:rPr>
        <w:t xml:space="preserve">Nedaňové příjmy tvoří především příjmy z poskytování služeb a výrobků, úroky z bankovních účtů, sankční platby z pokut vystavených odbory v rámci přenesené působnosti a ostatní nedaňové příjmy. </w:t>
      </w:r>
      <w:r w:rsidR="000A2BBF" w:rsidRPr="003F7EC4">
        <w:rPr>
          <w:sz w:val="24"/>
        </w:rPr>
        <w:t>U nedaňových příjmů je očekáváno zvýšení především v oblasti úroků z důvodu zhodnocení finančních prostředků.</w:t>
      </w:r>
    </w:p>
    <w:p w:rsidR="00971791" w:rsidRPr="003F7EC4" w:rsidRDefault="00971791" w:rsidP="00971791">
      <w:pPr>
        <w:jc w:val="both"/>
        <w:rPr>
          <w:sz w:val="24"/>
        </w:rPr>
      </w:pPr>
    </w:p>
    <w:p w:rsidR="00971791" w:rsidRPr="003F7EC4" w:rsidRDefault="00971791" w:rsidP="00971791">
      <w:pPr>
        <w:jc w:val="both"/>
        <w:rPr>
          <w:sz w:val="24"/>
        </w:rPr>
      </w:pPr>
    </w:p>
    <w:p w:rsidR="00971791" w:rsidRPr="003F7EC4" w:rsidRDefault="00971791" w:rsidP="00971791">
      <w:pPr>
        <w:jc w:val="both"/>
        <w:rPr>
          <w:b/>
          <w:i/>
          <w:sz w:val="24"/>
        </w:rPr>
      </w:pPr>
      <w:r w:rsidRPr="003F7EC4">
        <w:rPr>
          <w:b/>
          <w:i/>
          <w:sz w:val="24"/>
        </w:rPr>
        <w:t>Převody z vlastních fondů a ve vztahu k útvarům bez plné subjektivity</w:t>
      </w:r>
    </w:p>
    <w:p w:rsidR="00971791" w:rsidRPr="003F7EC4" w:rsidRDefault="00971791" w:rsidP="00971791">
      <w:pPr>
        <w:numPr>
          <w:ilvl w:val="0"/>
          <w:numId w:val="1"/>
        </w:numPr>
        <w:jc w:val="both"/>
        <w:rPr>
          <w:sz w:val="24"/>
        </w:rPr>
      </w:pPr>
      <w:r w:rsidRPr="003F7EC4">
        <w:rPr>
          <w:sz w:val="24"/>
        </w:rPr>
        <w:t xml:space="preserve">Převody z hospodářské činnosti </w:t>
      </w:r>
    </w:p>
    <w:p w:rsidR="00971791" w:rsidRPr="003F7EC4" w:rsidRDefault="00971791" w:rsidP="00971791">
      <w:pPr>
        <w:numPr>
          <w:ilvl w:val="0"/>
          <w:numId w:val="1"/>
        </w:numPr>
        <w:jc w:val="both"/>
        <w:rPr>
          <w:sz w:val="24"/>
        </w:rPr>
      </w:pPr>
      <w:r w:rsidRPr="003F7EC4">
        <w:rPr>
          <w:sz w:val="24"/>
        </w:rPr>
        <w:t>Převody mezi statutárními městy – u dotace na výkon státní správy a finančního vztahu hl. m. Prahy k městským částem se vychází z návrhu 202</w:t>
      </w:r>
      <w:r w:rsidR="006634C0" w:rsidRPr="003F7EC4">
        <w:rPr>
          <w:sz w:val="24"/>
        </w:rPr>
        <w:t>1</w:t>
      </w:r>
    </w:p>
    <w:p w:rsidR="000A2BBF" w:rsidRPr="003F7EC4" w:rsidRDefault="000A2BBF" w:rsidP="000A2BBF">
      <w:pPr>
        <w:jc w:val="both"/>
        <w:rPr>
          <w:sz w:val="24"/>
        </w:rPr>
      </w:pPr>
    </w:p>
    <w:p w:rsidR="000A2BBF" w:rsidRPr="003F7EC4" w:rsidRDefault="000A2BBF" w:rsidP="000A2BBF">
      <w:pPr>
        <w:jc w:val="both"/>
        <w:rPr>
          <w:sz w:val="24"/>
        </w:rPr>
      </w:pPr>
    </w:p>
    <w:p w:rsidR="00971791" w:rsidRPr="003F7EC4" w:rsidRDefault="008B69C6" w:rsidP="008B69C6">
      <w:pPr>
        <w:autoSpaceDE w:val="0"/>
        <w:autoSpaceDN w:val="0"/>
        <w:adjustRightInd w:val="0"/>
        <w:jc w:val="both"/>
        <w:rPr>
          <w:sz w:val="24"/>
        </w:rPr>
      </w:pPr>
      <w:r w:rsidRPr="003F7EC4">
        <w:rPr>
          <w:rFonts w:eastAsiaTheme="minorHAnsi"/>
          <w:sz w:val="24"/>
          <w:szCs w:val="24"/>
          <w:lang w:eastAsia="en-US"/>
        </w:rPr>
        <w:t>Transfery ze státního rozpočtu v rámci souhrnného dotačního vztahu a dotační vztah k městské části poskytovaný z rozpočtu hlavního města Prahy, jsou dle zásad RHMP pro sestavování střednědobého výhledu rozpočtu městských částí hlavního města Prahy,</w:t>
      </w:r>
      <w:r w:rsidR="006634C0" w:rsidRPr="003F7EC4">
        <w:rPr>
          <w:rFonts w:eastAsiaTheme="minorHAnsi"/>
          <w:sz w:val="24"/>
          <w:szCs w:val="24"/>
          <w:lang w:eastAsia="en-US"/>
        </w:rPr>
        <w:t xml:space="preserve"> </w:t>
      </w:r>
      <w:r w:rsidRPr="003F7EC4">
        <w:rPr>
          <w:rFonts w:eastAsiaTheme="minorHAnsi"/>
          <w:sz w:val="24"/>
          <w:szCs w:val="24"/>
          <w:lang w:eastAsia="en-US"/>
        </w:rPr>
        <w:t>do střednědobého výhledu rozpočtu městské části do roku 2027 zahrnuty ve stejné výši, jaká byla schválena pro rok 2021.</w:t>
      </w:r>
    </w:p>
    <w:p w:rsidR="008B69C6" w:rsidRPr="003F7EC4" w:rsidRDefault="008B69C6" w:rsidP="00971791">
      <w:pPr>
        <w:jc w:val="both"/>
        <w:rPr>
          <w:b/>
          <w:sz w:val="24"/>
          <w:u w:val="single"/>
        </w:rPr>
      </w:pPr>
    </w:p>
    <w:p w:rsidR="008B69C6" w:rsidRPr="003F7EC4" w:rsidRDefault="008B69C6" w:rsidP="00971791">
      <w:pPr>
        <w:jc w:val="both"/>
        <w:rPr>
          <w:b/>
          <w:sz w:val="24"/>
          <w:u w:val="single"/>
        </w:rPr>
      </w:pPr>
    </w:p>
    <w:p w:rsidR="00971791" w:rsidRPr="003F7EC4" w:rsidRDefault="00971791" w:rsidP="00971791">
      <w:pPr>
        <w:jc w:val="both"/>
        <w:rPr>
          <w:b/>
          <w:sz w:val="24"/>
          <w:u w:val="single"/>
        </w:rPr>
      </w:pPr>
      <w:r w:rsidRPr="003F7EC4">
        <w:rPr>
          <w:b/>
          <w:sz w:val="24"/>
          <w:u w:val="single"/>
        </w:rPr>
        <w:t xml:space="preserve">Výdaje městské části : 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 xml:space="preserve"> </w:t>
      </w:r>
    </w:p>
    <w:p w:rsidR="006634C0" w:rsidRPr="003F7EC4" w:rsidRDefault="00804A31" w:rsidP="00971791">
      <w:pPr>
        <w:jc w:val="both"/>
        <w:rPr>
          <w:sz w:val="24"/>
        </w:rPr>
      </w:pPr>
      <w:r w:rsidRPr="003F7EC4">
        <w:rPr>
          <w:sz w:val="24"/>
        </w:rPr>
        <w:t>Oblast výdajů</w:t>
      </w:r>
      <w:r w:rsidR="000A2BBF" w:rsidRPr="003F7EC4">
        <w:rPr>
          <w:sz w:val="24"/>
        </w:rPr>
        <w:t xml:space="preserve"> je ovlivněna </w:t>
      </w:r>
      <w:r w:rsidRPr="003F7EC4">
        <w:rPr>
          <w:sz w:val="24"/>
        </w:rPr>
        <w:t>aktuální situací a to zejména legislativními úpravami a inflací předpokládanou Ministerstvem financí.</w:t>
      </w:r>
      <w:r w:rsidR="00971791" w:rsidRPr="003F7EC4">
        <w:rPr>
          <w:sz w:val="24"/>
        </w:rPr>
        <w:t xml:space="preserve"> </w:t>
      </w:r>
    </w:p>
    <w:p w:rsidR="00971791" w:rsidRPr="003F7EC4" w:rsidRDefault="00804A31" w:rsidP="00971791">
      <w:pPr>
        <w:jc w:val="both"/>
        <w:rPr>
          <w:sz w:val="24"/>
        </w:rPr>
      </w:pPr>
      <w:r w:rsidRPr="003F7EC4">
        <w:rPr>
          <w:sz w:val="24"/>
        </w:rPr>
        <w:t xml:space="preserve">V  běžných výdajích jsou kryty zejména mandatorní výdaje. </w:t>
      </w:r>
      <w:r w:rsidR="00971791" w:rsidRPr="003F7EC4">
        <w:rPr>
          <w:sz w:val="24"/>
        </w:rPr>
        <w:t>Jedná se o neinvestiční příspěvky na provoz pro zřizované organizace, smluvně zajištěné výdaje v oblasti životního prostředí (např. úklid zeleně, sekání trávy, úklid chodníků, cyklostezek, úklid psích ex</w:t>
      </w:r>
      <w:r w:rsidR="008D072C" w:rsidRPr="003F7EC4">
        <w:rPr>
          <w:sz w:val="24"/>
        </w:rPr>
        <w:t>krementů, obsluha a nájem košů</w:t>
      </w:r>
      <w:r w:rsidR="00B074A5" w:rsidRPr="003F7EC4">
        <w:rPr>
          <w:sz w:val="24"/>
        </w:rPr>
        <w:t>,</w:t>
      </w:r>
      <w:r w:rsidR="008D072C" w:rsidRPr="003F7EC4">
        <w:rPr>
          <w:sz w:val="24"/>
        </w:rPr>
        <w:t xml:space="preserve"> úklid </w:t>
      </w:r>
      <w:r w:rsidR="00971791" w:rsidRPr="003F7EC4">
        <w:rPr>
          <w:sz w:val="24"/>
        </w:rPr>
        <w:t xml:space="preserve">komunálního odpadu na veřejných plochách městské části </w:t>
      </w:r>
      <w:r w:rsidR="00B074A5" w:rsidRPr="003F7EC4">
        <w:rPr>
          <w:sz w:val="24"/>
        </w:rPr>
        <w:t>apod.</w:t>
      </w:r>
      <w:r w:rsidR="00971791" w:rsidRPr="003F7EC4">
        <w:rPr>
          <w:sz w:val="24"/>
        </w:rPr>
        <w:t>), mzdy zaměstnanců ÚMČ Praha Libuš, odměny za výkon funkce člena zastupitelstva M</w:t>
      </w:r>
      <w:r w:rsidR="009B1723" w:rsidRPr="003F7EC4">
        <w:rPr>
          <w:sz w:val="24"/>
        </w:rPr>
        <w:t>Č Praha-Libuš</w:t>
      </w:r>
      <w:r w:rsidR="008D072C" w:rsidRPr="003F7EC4">
        <w:rPr>
          <w:sz w:val="24"/>
        </w:rPr>
        <w:t xml:space="preserve">, služby v oblasti IT, případně </w:t>
      </w:r>
      <w:r w:rsidR="00971791" w:rsidRPr="003F7EC4">
        <w:rPr>
          <w:sz w:val="24"/>
        </w:rPr>
        <w:t xml:space="preserve">další výdaje vyplývající z již uzavřených smluv. </w:t>
      </w:r>
    </w:p>
    <w:p w:rsidR="00971791" w:rsidRPr="003F7EC4" w:rsidRDefault="00971791" w:rsidP="00971791">
      <w:pPr>
        <w:jc w:val="both"/>
        <w:rPr>
          <w:sz w:val="24"/>
        </w:rPr>
      </w:pP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 xml:space="preserve">Objem kapitálových výdajů bude záviset na zdrojových možnostech městské části a to zejména na HV z ekonomické činnosti, nebo na úsporách v provozních výdajích, které by umožnily přesunout část finančního vztahu hl. m. Prahy jako zdroj na investice. </w:t>
      </w:r>
    </w:p>
    <w:p w:rsidR="00971791" w:rsidRPr="003F7EC4" w:rsidRDefault="00971791" w:rsidP="00971791">
      <w:pPr>
        <w:jc w:val="both"/>
        <w:rPr>
          <w:sz w:val="24"/>
        </w:rPr>
      </w:pPr>
      <w:r w:rsidRPr="003F7EC4">
        <w:rPr>
          <w:sz w:val="24"/>
        </w:rPr>
        <w:t xml:space="preserve">Investice významnějšího charakteru budou podmíněné získáním prostředků z fondů nebo z rozpočtu hl. m. Prahy. </w:t>
      </w:r>
    </w:p>
    <w:p w:rsidR="00971791" w:rsidRPr="003F7EC4" w:rsidRDefault="00971791" w:rsidP="00971791">
      <w:pPr>
        <w:jc w:val="both"/>
        <w:rPr>
          <w:sz w:val="24"/>
        </w:rPr>
      </w:pPr>
    </w:p>
    <w:p w:rsidR="008B69C6" w:rsidRPr="003F7EC4" w:rsidRDefault="008B69C6" w:rsidP="008B69C6">
      <w:pPr>
        <w:widowControl w:val="0"/>
        <w:autoSpaceDE w:val="0"/>
        <w:autoSpaceDN w:val="0"/>
        <w:adjustRightInd w:val="0"/>
        <w:spacing w:before="120"/>
        <w:outlineLvl w:val="0"/>
        <w:rPr>
          <w:sz w:val="24"/>
          <w:szCs w:val="24"/>
          <w:u w:val="single"/>
        </w:rPr>
      </w:pPr>
      <w:r w:rsidRPr="003F7EC4">
        <w:rPr>
          <w:sz w:val="24"/>
          <w:szCs w:val="24"/>
          <w:u w:val="single"/>
        </w:rPr>
        <w:t>Dluhová služba městské části Praha-Libuš - ve třídě 8 - financování</w:t>
      </w:r>
    </w:p>
    <w:p w:rsidR="008B69C6" w:rsidRPr="003F7EC4" w:rsidRDefault="008B69C6" w:rsidP="008B69C6">
      <w:pPr>
        <w:widowControl w:val="0"/>
        <w:autoSpaceDE w:val="0"/>
        <w:autoSpaceDN w:val="0"/>
        <w:adjustRightInd w:val="0"/>
        <w:jc w:val="both"/>
        <w:rPr>
          <w:strike/>
          <w:sz w:val="24"/>
          <w:szCs w:val="24"/>
        </w:rPr>
      </w:pPr>
      <w:r w:rsidRPr="003F7EC4">
        <w:rPr>
          <w:sz w:val="24"/>
          <w:szCs w:val="24"/>
        </w:rPr>
        <w:t xml:space="preserve">Městská část Praha-Libuš nepředpokládá v následujících letech financovat část svých výdajů pomocí úvěrů nebo půjček, proto v dluhové službě nejsou uváděny žádné údaje.  </w:t>
      </w:r>
    </w:p>
    <w:p w:rsidR="00971791" w:rsidRPr="003F7EC4" w:rsidRDefault="00971791" w:rsidP="00971791">
      <w:pPr>
        <w:jc w:val="both"/>
        <w:rPr>
          <w:sz w:val="22"/>
          <w:szCs w:val="22"/>
        </w:rPr>
      </w:pPr>
    </w:p>
    <w:p w:rsidR="00971791" w:rsidRPr="003F7EC4" w:rsidRDefault="00971791" w:rsidP="00971791"/>
    <w:p w:rsidR="0071718E" w:rsidRPr="003F7EC4" w:rsidRDefault="0071718E"/>
    <w:sectPr w:rsidR="0071718E" w:rsidRPr="003F7EC4" w:rsidSect="00971791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CD" w:rsidRDefault="00D753CD">
      <w:r>
        <w:separator/>
      </w:r>
    </w:p>
  </w:endnote>
  <w:endnote w:type="continuationSeparator" w:id="0">
    <w:p w:rsidR="00D753CD" w:rsidRDefault="00D7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B02" w:rsidRDefault="0097179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04232">
      <w:rPr>
        <w:noProof/>
      </w:rPr>
      <w:t>2</w:t>
    </w:r>
    <w:r>
      <w:fldChar w:fldCharType="end"/>
    </w:r>
  </w:p>
  <w:p w:rsidR="00C93D6B" w:rsidRDefault="00D753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CD" w:rsidRDefault="00D753CD">
      <w:r>
        <w:separator/>
      </w:r>
    </w:p>
  </w:footnote>
  <w:footnote w:type="continuationSeparator" w:id="0">
    <w:p w:rsidR="00D753CD" w:rsidRDefault="00D7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4485"/>
    <w:multiLevelType w:val="hybridMultilevel"/>
    <w:tmpl w:val="C12C33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91"/>
    <w:rsid w:val="000A2BBF"/>
    <w:rsid w:val="001E38B4"/>
    <w:rsid w:val="00355735"/>
    <w:rsid w:val="003F7EC4"/>
    <w:rsid w:val="005F672A"/>
    <w:rsid w:val="006634C0"/>
    <w:rsid w:val="006C7C80"/>
    <w:rsid w:val="006D37EF"/>
    <w:rsid w:val="0071718E"/>
    <w:rsid w:val="00745AC8"/>
    <w:rsid w:val="00804A31"/>
    <w:rsid w:val="008B1D77"/>
    <w:rsid w:val="008B6282"/>
    <w:rsid w:val="008B69C6"/>
    <w:rsid w:val="008C6AB9"/>
    <w:rsid w:val="008D072C"/>
    <w:rsid w:val="00971791"/>
    <w:rsid w:val="00983104"/>
    <w:rsid w:val="009A3D77"/>
    <w:rsid w:val="009B1723"/>
    <w:rsid w:val="00A0405E"/>
    <w:rsid w:val="00A76129"/>
    <w:rsid w:val="00A81A7B"/>
    <w:rsid w:val="00B074A5"/>
    <w:rsid w:val="00B375B0"/>
    <w:rsid w:val="00B410E6"/>
    <w:rsid w:val="00B431C2"/>
    <w:rsid w:val="00D753CD"/>
    <w:rsid w:val="00E823E5"/>
    <w:rsid w:val="00EA25A3"/>
    <w:rsid w:val="00F04232"/>
    <w:rsid w:val="00F5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9717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79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Jana Zapiorová</cp:lastModifiedBy>
  <cp:revision>3</cp:revision>
  <cp:lastPrinted>2020-02-13T09:02:00Z</cp:lastPrinted>
  <dcterms:created xsi:type="dcterms:W3CDTF">2021-12-21T10:13:00Z</dcterms:created>
  <dcterms:modified xsi:type="dcterms:W3CDTF">2021-12-21T10:34:00Z</dcterms:modified>
</cp:coreProperties>
</file>