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47866" w14:textId="77777777" w:rsidR="00A5027B" w:rsidRPr="00E602E8" w:rsidRDefault="00A5027B">
      <w:pPr>
        <w:rPr>
          <w:b/>
          <w:bCs/>
        </w:rPr>
      </w:pPr>
      <w:bookmarkStart w:id="0" w:name="_GoBack"/>
      <w:bookmarkEnd w:id="0"/>
      <w:r w:rsidRPr="00E602E8">
        <w:rPr>
          <w:b/>
          <w:bCs/>
        </w:rPr>
        <w:t xml:space="preserve">Komise územního rozvoje </w:t>
      </w:r>
    </w:p>
    <w:p w14:paraId="6D50CCF1" w14:textId="2813E9A2" w:rsidR="004D3DE1" w:rsidRDefault="00A5027B">
      <w:r>
        <w:t xml:space="preserve">Zasedání č. </w:t>
      </w:r>
      <w:r w:rsidR="00590270">
        <w:t>4</w:t>
      </w:r>
      <w:r>
        <w:t>/2025</w:t>
      </w:r>
      <w:r w:rsidR="00ED5EF6">
        <w:t xml:space="preserve"> ze dne </w:t>
      </w:r>
      <w:r w:rsidR="00302247">
        <w:t>1.4</w:t>
      </w:r>
      <w:r w:rsidR="00ED5EF6">
        <w:t xml:space="preserve">.2025 </w:t>
      </w:r>
    </w:p>
    <w:p w14:paraId="5C1ACC71" w14:textId="25835A8C" w:rsidR="00ED5EF6" w:rsidRDefault="00A5027B">
      <w:r>
        <w:t xml:space="preserve">Přítomni: </w:t>
      </w:r>
      <w:r w:rsidR="00ED5EF6">
        <w:t xml:space="preserve">Václav </w:t>
      </w:r>
      <w:r>
        <w:t>Kuthan, Jana Zdráhalová</w:t>
      </w:r>
      <w:r w:rsidR="0054652A">
        <w:t>, Kamila Davidová</w:t>
      </w:r>
      <w:r w:rsidR="000F3211">
        <w:t>, Václav Tesárek</w:t>
      </w:r>
      <w:r w:rsidR="00302247">
        <w:t>, Dalibor Šulc</w:t>
      </w:r>
    </w:p>
    <w:p w14:paraId="6C26BA55" w14:textId="49A9E689" w:rsidR="00ED5EF6" w:rsidRDefault="00ED5EF6">
      <w:r>
        <w:t>Omluveni:</w:t>
      </w:r>
      <w:r w:rsidR="000C1892">
        <w:t xml:space="preserve"> Jana Kačenová</w:t>
      </w:r>
    </w:p>
    <w:p w14:paraId="6C322EA5" w14:textId="30DC031B" w:rsidR="00302247" w:rsidRDefault="00302247">
      <w:r>
        <w:t>Nepřítomni: Hana Krchovová</w:t>
      </w:r>
    </w:p>
    <w:p w14:paraId="5E7F9B38" w14:textId="0AA16C4F" w:rsidR="00ED5EF6" w:rsidRDefault="00ED5EF6" w:rsidP="00D97FC4">
      <w:pPr>
        <w:pStyle w:val="Odstavecseseznamem"/>
        <w:numPr>
          <w:ilvl w:val="0"/>
          <w:numId w:val="1"/>
        </w:numPr>
        <w:jc w:val="both"/>
      </w:pPr>
      <w:r>
        <w:t>Zahájení zasedání komise</w:t>
      </w:r>
      <w:r w:rsidR="0054652A">
        <w:t xml:space="preserve">. </w:t>
      </w:r>
    </w:p>
    <w:p w14:paraId="0A664287" w14:textId="0A70CE21" w:rsidR="000C1892" w:rsidRDefault="0054652A" w:rsidP="00D97FC4">
      <w:pPr>
        <w:pStyle w:val="Odstavecseseznamem"/>
        <w:numPr>
          <w:ilvl w:val="0"/>
          <w:numId w:val="1"/>
        </w:numPr>
        <w:jc w:val="both"/>
      </w:pPr>
      <w:r>
        <w:t xml:space="preserve">Komisi územního rozvoje </w:t>
      </w:r>
      <w:r w:rsidR="000C1892">
        <w:t xml:space="preserve">předala </w:t>
      </w:r>
      <w:r w:rsidR="00302247">
        <w:t xml:space="preserve">na základě návrhů členů komise </w:t>
      </w:r>
      <w:r w:rsidR="000C1892">
        <w:t xml:space="preserve">v průběhu března </w:t>
      </w:r>
      <w:r w:rsidR="00302247">
        <w:t xml:space="preserve">2025 </w:t>
      </w:r>
      <w:r w:rsidR="000C1892">
        <w:t>Radě městské části připomínky k Územní studii Depo Písnice a okolí – hrubopis 01/2025, aby je bylo možné odeslat na Odbor územního rozvoje MHMP.</w:t>
      </w:r>
    </w:p>
    <w:p w14:paraId="6F42CF78" w14:textId="6F7E0E36" w:rsidR="000C1892" w:rsidRDefault="000C1892" w:rsidP="00D97FC4">
      <w:pPr>
        <w:pStyle w:val="Odstavecseseznamem"/>
        <w:numPr>
          <w:ilvl w:val="0"/>
          <w:numId w:val="1"/>
        </w:numPr>
        <w:jc w:val="both"/>
      </w:pPr>
      <w:r>
        <w:t xml:space="preserve">Komise územního rozvoje souhlasí s navrženými připomínkami tak, jak byly předloženy po zpracování členy </w:t>
      </w:r>
      <w:r w:rsidR="00302247">
        <w:t>K</w:t>
      </w:r>
      <w:r>
        <w:t xml:space="preserve">omise územního rozvoje </w:t>
      </w:r>
      <w:r w:rsidR="00302247">
        <w:t xml:space="preserve">Radě městské části </w:t>
      </w:r>
      <w:r>
        <w:t>v celém rozsahu, a to takto:</w:t>
      </w:r>
    </w:p>
    <w:p w14:paraId="01705AFB" w14:textId="7A667711" w:rsidR="00D97FC4" w:rsidRPr="00D97FC4" w:rsidRDefault="00D97FC4" w:rsidP="00D97FC4">
      <w:pPr>
        <w:pStyle w:val="Odstavecseseznamem"/>
        <w:numPr>
          <w:ilvl w:val="0"/>
          <w:numId w:val="3"/>
        </w:numPr>
        <w:spacing w:line="276" w:lineRule="auto"/>
        <w:jc w:val="both"/>
        <w:rPr>
          <w:b/>
          <w:bCs/>
          <w:i/>
          <w:iCs/>
        </w:rPr>
      </w:pPr>
      <w:r w:rsidRPr="00D97FC4">
        <w:rPr>
          <w:b/>
          <w:bCs/>
          <w:i/>
          <w:iCs/>
        </w:rPr>
        <w:t>Zadání neobsahuje pojem „širší řešené území“. Pracuje pouze s termínem „řešené území“. Územní studie tak navrhuje i na území mimo vymezené řešené území. Projekt zasahuje v severní straně (za Kunratickou spojkou) na pozemky, které nejsou součástí zadání. Tímto způsobem zvětšuje plochu zelených ploch a rekreace mimo vymezené území a naopak neřeší tyto plochy dostatečně na řešeném území.</w:t>
      </w:r>
    </w:p>
    <w:p w14:paraId="4E5EF373" w14:textId="77777777" w:rsidR="00D97FC4" w:rsidRPr="00D97FC4" w:rsidRDefault="00D97FC4" w:rsidP="00D97FC4">
      <w:pPr>
        <w:pStyle w:val="Odstavecseseznamem"/>
        <w:jc w:val="both"/>
        <w:rPr>
          <w:b/>
          <w:bCs/>
          <w:i/>
          <w:iCs/>
        </w:rPr>
      </w:pPr>
    </w:p>
    <w:p w14:paraId="2BAE5952" w14:textId="2E1E5655" w:rsidR="00D97FC4" w:rsidRPr="00D97FC4" w:rsidRDefault="00D97FC4" w:rsidP="00D97FC4">
      <w:pPr>
        <w:pStyle w:val="Odstavecseseznamem"/>
        <w:numPr>
          <w:ilvl w:val="0"/>
          <w:numId w:val="3"/>
        </w:numPr>
        <w:spacing w:line="276" w:lineRule="auto"/>
        <w:jc w:val="both"/>
        <w:rPr>
          <w:b/>
          <w:bCs/>
          <w:i/>
          <w:iCs/>
        </w:rPr>
      </w:pPr>
      <w:r w:rsidRPr="00D97FC4">
        <w:rPr>
          <w:b/>
          <w:bCs/>
          <w:i/>
          <w:iCs/>
        </w:rPr>
        <w:t>Územní studie deklaruje, že vytváří dva oddělené městské celky – Písnice a Kunratice (Širší vztahy návrhu a celková koncepce 1.1.2). Nesouhlasíme s tímto uspořádáním. Část Písnice dotváří již existující zástavbu, ale část Kunratic tvoří zcela nová zástavba na zelené louce. Takto koncipovaná zástavba, navíc s umístěním stanice metra do Kunratic způsobuje, že Písnice je od veškeré vybavenosti odříznutá.</w:t>
      </w:r>
    </w:p>
    <w:p w14:paraId="5AA57C39" w14:textId="77777777" w:rsidR="00D97FC4" w:rsidRPr="00D97FC4" w:rsidRDefault="00D97FC4" w:rsidP="00D97FC4">
      <w:pPr>
        <w:pStyle w:val="Odstavecseseznamem"/>
        <w:jc w:val="both"/>
        <w:rPr>
          <w:b/>
          <w:bCs/>
          <w:i/>
          <w:iCs/>
        </w:rPr>
      </w:pPr>
    </w:p>
    <w:p w14:paraId="199B83F5" w14:textId="77777777" w:rsidR="00D97FC4" w:rsidRPr="00D97FC4" w:rsidRDefault="00D97FC4" w:rsidP="00D97FC4">
      <w:pPr>
        <w:pStyle w:val="Odstavecseseznamem"/>
        <w:numPr>
          <w:ilvl w:val="0"/>
          <w:numId w:val="3"/>
        </w:numPr>
        <w:spacing w:line="276" w:lineRule="auto"/>
        <w:jc w:val="both"/>
        <w:rPr>
          <w:b/>
          <w:bCs/>
          <w:i/>
          <w:iCs/>
        </w:rPr>
      </w:pPr>
      <w:r w:rsidRPr="00D97FC4">
        <w:rPr>
          <w:b/>
          <w:bCs/>
          <w:i/>
          <w:iCs/>
        </w:rPr>
        <w:t xml:space="preserve">Celkové řešení Kunratic, které se snaží evokovat historickou strukturu, působí nepřesvědčivě a do území nezapadá. Zatímco v některých částech vznikají malebná, historizující náměstíčka, okolní zástavba dosahuje až 20 nadzemních podlaží. Výsledkem je zvláštní struktura, která svým půdorysem připomíná nízkopodlažní středověkou obec, avšak svou výškovou skladbou odpovídá sídlišti. Přechod mezi zastavěným a nezastavěným územím je striktní a umělý, což nepřirozeně narušuje vztah mezi městem a krajinou. Chybí zde postupný přechod, který by podpořil </w:t>
      </w:r>
      <w:r w:rsidRPr="00D97FC4">
        <w:rPr>
          <w:b/>
          <w:bCs/>
          <w:i/>
          <w:iCs/>
        </w:rPr>
        <w:lastRenderedPageBreak/>
        <w:t>každodenní kontakt obyvatel s okolním prostředím – ať už formou procházek nebo cyklistiky.</w:t>
      </w:r>
    </w:p>
    <w:p w14:paraId="7E21FB08" w14:textId="77777777" w:rsidR="00D97FC4" w:rsidRPr="00D97FC4" w:rsidRDefault="00D97FC4" w:rsidP="00D97FC4">
      <w:pPr>
        <w:pStyle w:val="Odstavecseseznamem"/>
        <w:jc w:val="both"/>
        <w:rPr>
          <w:b/>
          <w:bCs/>
          <w:i/>
          <w:iCs/>
        </w:rPr>
      </w:pPr>
    </w:p>
    <w:p w14:paraId="78A86879" w14:textId="77777777" w:rsidR="00D97FC4" w:rsidRPr="00D97FC4" w:rsidRDefault="00D97FC4" w:rsidP="00D97FC4">
      <w:pPr>
        <w:pStyle w:val="Odstavecseseznamem"/>
        <w:numPr>
          <w:ilvl w:val="0"/>
          <w:numId w:val="3"/>
        </w:numPr>
        <w:spacing w:line="276" w:lineRule="auto"/>
        <w:jc w:val="both"/>
        <w:rPr>
          <w:b/>
          <w:bCs/>
          <w:i/>
          <w:iCs/>
        </w:rPr>
      </w:pPr>
      <w:r w:rsidRPr="00D97FC4">
        <w:rPr>
          <w:b/>
          <w:bCs/>
          <w:i/>
          <w:iCs/>
        </w:rPr>
        <w:t>Orientace zastávky metra na Kunratice zcela jasně upřednostňuje Kunratice jako cílovou destinaci pro cestující. Návrh neřeší území jako celek, ale zaměřuje se na východní část. Obyvatelé Písnice mají zastávku velmi obtížně dosažitelnou. Řešení propojení Písnice a nové zástavby v Kunraticích prochází nevhodně zpracovaným a upraveným územím. Domníváme se, že občané tuto trasu nebudou považovat za bezpečnou a nebudou ji využívat. Žádáme proto, aby propojení obou částí bylo realizováno cestou obestavěnou obchody a službami.</w:t>
      </w:r>
    </w:p>
    <w:p w14:paraId="6FBCF2D9" w14:textId="77777777" w:rsidR="00D97FC4" w:rsidRPr="00D97FC4" w:rsidRDefault="00D97FC4" w:rsidP="00D97FC4">
      <w:pPr>
        <w:pStyle w:val="Odstavecseseznamem"/>
        <w:jc w:val="both"/>
        <w:rPr>
          <w:b/>
          <w:bCs/>
          <w:i/>
          <w:iCs/>
        </w:rPr>
      </w:pPr>
    </w:p>
    <w:p w14:paraId="3EBD69A4" w14:textId="77777777" w:rsidR="00D97FC4" w:rsidRPr="00D97FC4" w:rsidRDefault="00D97FC4" w:rsidP="00D97FC4">
      <w:pPr>
        <w:pStyle w:val="Odstavecseseznamem"/>
        <w:numPr>
          <w:ilvl w:val="0"/>
          <w:numId w:val="3"/>
        </w:numPr>
        <w:spacing w:line="276" w:lineRule="auto"/>
        <w:jc w:val="both"/>
        <w:rPr>
          <w:b/>
          <w:bCs/>
          <w:i/>
          <w:iCs/>
        </w:rPr>
      </w:pPr>
      <w:r w:rsidRPr="00D97FC4">
        <w:rPr>
          <w:b/>
          <w:bCs/>
          <w:i/>
          <w:iCs/>
        </w:rPr>
        <w:t xml:space="preserve">Část </w:t>
      </w:r>
      <w:bookmarkStart w:id="1" w:name="_Toc129782732"/>
      <w:r w:rsidRPr="00D97FC4">
        <w:rPr>
          <w:b/>
          <w:bCs/>
          <w:i/>
          <w:iCs/>
        </w:rPr>
        <w:t>Etapizace (podmíněnost) (900/)</w:t>
      </w:r>
      <w:bookmarkEnd w:id="1"/>
      <w:r w:rsidRPr="00D97FC4">
        <w:rPr>
          <w:b/>
          <w:bCs/>
          <w:i/>
          <w:iCs/>
        </w:rPr>
        <w:t xml:space="preserve"> v Zadání umožňuje využít možnost etapizace výstavby. Požadujeme využít toto opatření pro řešení dopravních staveb v okolí a výstavby budov, aby nedošlo k dopravnímu přetížení již existujících lokalit.</w:t>
      </w:r>
    </w:p>
    <w:p w14:paraId="038A8755" w14:textId="77777777" w:rsidR="00D97FC4" w:rsidRPr="00D97FC4" w:rsidRDefault="00D97FC4" w:rsidP="00D97FC4">
      <w:pPr>
        <w:pStyle w:val="Odstavecseseznamem"/>
        <w:jc w:val="both"/>
        <w:rPr>
          <w:b/>
          <w:bCs/>
          <w:i/>
          <w:iCs/>
        </w:rPr>
      </w:pPr>
    </w:p>
    <w:p w14:paraId="7FDA4A10" w14:textId="2BB53BAC" w:rsidR="00D97FC4" w:rsidRPr="00D97FC4" w:rsidRDefault="00D97FC4" w:rsidP="00D97FC4">
      <w:pPr>
        <w:pStyle w:val="Odstavecseseznamem"/>
        <w:numPr>
          <w:ilvl w:val="0"/>
          <w:numId w:val="3"/>
        </w:numPr>
        <w:spacing w:line="276" w:lineRule="auto"/>
        <w:jc w:val="both"/>
        <w:rPr>
          <w:b/>
          <w:bCs/>
          <w:i/>
          <w:iCs/>
        </w:rPr>
      </w:pPr>
      <w:r w:rsidRPr="00D97FC4">
        <w:rPr>
          <w:b/>
          <w:bCs/>
          <w:i/>
          <w:iCs/>
        </w:rPr>
        <w:t xml:space="preserve">Územní studie nenaplňuje požadavky Zadání (II.8 </w:t>
      </w:r>
      <w:bookmarkStart w:id="2" w:name="_Toc129782729"/>
      <w:r w:rsidRPr="00D97FC4">
        <w:rPr>
          <w:b/>
          <w:bCs/>
          <w:i/>
          <w:iCs/>
        </w:rPr>
        <w:t>Veřejná vybavenost (800/)</w:t>
      </w:r>
      <w:bookmarkEnd w:id="2"/>
      <w:r w:rsidRPr="00D97FC4">
        <w:rPr>
          <w:b/>
          <w:bCs/>
          <w:i/>
          <w:iCs/>
        </w:rPr>
        <w:t>) a sice chybí adekvátní sportoviště a jejich umístění na straně Písnice (veřejně přístupné fotbalové hřiště, hřiště školy atd.). Na straně Kunratic je hřiště zanesené až v poslední ideové fázi - V5 (11. Etapizace). Je tedy možné, že se nikdy nepostaví.</w:t>
      </w:r>
    </w:p>
    <w:p w14:paraId="745851C1" w14:textId="77777777" w:rsidR="00D97FC4" w:rsidRPr="00D97FC4" w:rsidRDefault="00D97FC4" w:rsidP="00D97FC4">
      <w:pPr>
        <w:pStyle w:val="Odstavecseseznamem"/>
        <w:jc w:val="both"/>
        <w:rPr>
          <w:b/>
          <w:bCs/>
          <w:i/>
          <w:iCs/>
        </w:rPr>
      </w:pPr>
    </w:p>
    <w:p w14:paraId="7B454262" w14:textId="77777777" w:rsidR="00D97FC4" w:rsidRPr="00D97FC4" w:rsidRDefault="00D97FC4" w:rsidP="00D97FC4">
      <w:pPr>
        <w:pStyle w:val="Odstavecseseznamem"/>
        <w:numPr>
          <w:ilvl w:val="0"/>
          <w:numId w:val="3"/>
        </w:numPr>
        <w:spacing w:line="276" w:lineRule="auto"/>
        <w:jc w:val="both"/>
        <w:rPr>
          <w:b/>
          <w:bCs/>
          <w:i/>
          <w:iCs/>
        </w:rPr>
      </w:pPr>
      <w:r w:rsidRPr="00D97FC4">
        <w:rPr>
          <w:b/>
          <w:bCs/>
          <w:i/>
          <w:iCs/>
        </w:rPr>
        <w:t>Kapacity zařízení pro seniory – domov pro seniory i dům s pečovatelskou službou mají extrémně nízké kapacity – zejména s přihlédnutím k celospolečenskému trendu stárnutí populace.</w:t>
      </w:r>
    </w:p>
    <w:p w14:paraId="2B10B1BF" w14:textId="77777777" w:rsidR="00D97FC4" w:rsidRPr="00D97FC4" w:rsidRDefault="00D97FC4" w:rsidP="00D97FC4">
      <w:pPr>
        <w:pStyle w:val="Odstavecseseznamem"/>
        <w:jc w:val="both"/>
        <w:rPr>
          <w:b/>
          <w:bCs/>
          <w:i/>
          <w:iCs/>
        </w:rPr>
      </w:pPr>
    </w:p>
    <w:p w14:paraId="3A7FC7E0" w14:textId="77777777" w:rsidR="00D97FC4" w:rsidRPr="00D97FC4" w:rsidRDefault="00D97FC4" w:rsidP="00D97FC4">
      <w:pPr>
        <w:pStyle w:val="Odstavecseseznamem"/>
        <w:numPr>
          <w:ilvl w:val="0"/>
          <w:numId w:val="3"/>
        </w:numPr>
        <w:spacing w:line="276" w:lineRule="auto"/>
        <w:jc w:val="both"/>
        <w:rPr>
          <w:b/>
          <w:bCs/>
          <w:i/>
          <w:iCs/>
        </w:rPr>
      </w:pPr>
      <w:r w:rsidRPr="00D97FC4">
        <w:rPr>
          <w:b/>
          <w:bCs/>
          <w:i/>
          <w:iCs/>
        </w:rPr>
        <w:t>Není jasné, jakými mechanismy dojde k výstavbě vzdělávacích zařízení, které jsou zaneseny na soukromých pozemcích. I v tomto případě požadujeme využít podmíněnost realizace bytové výstavby funkčními školami a školkami.</w:t>
      </w:r>
    </w:p>
    <w:p w14:paraId="5323ADE5" w14:textId="77777777" w:rsidR="00D97FC4" w:rsidRPr="00D97FC4" w:rsidRDefault="00D97FC4" w:rsidP="00D97FC4">
      <w:pPr>
        <w:pStyle w:val="Odstavecseseznamem"/>
        <w:jc w:val="both"/>
        <w:rPr>
          <w:b/>
          <w:bCs/>
          <w:i/>
          <w:iCs/>
        </w:rPr>
      </w:pPr>
    </w:p>
    <w:p w14:paraId="1AD31C03" w14:textId="77777777" w:rsidR="00D97FC4" w:rsidRPr="00D97FC4" w:rsidRDefault="00D97FC4" w:rsidP="00D97FC4">
      <w:pPr>
        <w:pStyle w:val="Odstavecseseznamem"/>
        <w:numPr>
          <w:ilvl w:val="0"/>
          <w:numId w:val="3"/>
        </w:numPr>
        <w:spacing w:line="276" w:lineRule="auto"/>
        <w:jc w:val="both"/>
        <w:rPr>
          <w:b/>
          <w:bCs/>
          <w:i/>
          <w:iCs/>
        </w:rPr>
      </w:pPr>
      <w:r w:rsidRPr="00D97FC4">
        <w:rPr>
          <w:b/>
          <w:bCs/>
          <w:i/>
          <w:iCs/>
        </w:rPr>
        <w:t>Řešení přeložky 3 vodovodních přivaděčů DN1200 z vodojemu Jesenice považujeme za extrémně nákladné a vynucené pouze zvolenou orientací stanice metra.</w:t>
      </w:r>
    </w:p>
    <w:p w14:paraId="3BB66D25" w14:textId="7E5665B3" w:rsidR="000C1892" w:rsidRDefault="000C1892" w:rsidP="00D97FC4">
      <w:pPr>
        <w:ind w:left="360"/>
        <w:jc w:val="both"/>
      </w:pPr>
    </w:p>
    <w:p w14:paraId="61C11391" w14:textId="43298890" w:rsidR="00AA484C" w:rsidRPr="000F3211" w:rsidRDefault="000C1892" w:rsidP="00D97FC4">
      <w:pPr>
        <w:pStyle w:val="Odstavecseseznamem"/>
        <w:jc w:val="both"/>
      </w:pPr>
      <w:r>
        <w:rPr>
          <w:b/>
          <w:bCs/>
        </w:rPr>
        <w:t>H</w:t>
      </w:r>
      <w:r w:rsidR="00E602E8" w:rsidRPr="000F3211">
        <w:rPr>
          <w:b/>
          <w:bCs/>
        </w:rPr>
        <w:t xml:space="preserve">lasováno </w:t>
      </w:r>
      <w:r w:rsidR="000641F4">
        <w:rPr>
          <w:b/>
          <w:bCs/>
        </w:rPr>
        <w:t>4</w:t>
      </w:r>
      <w:r w:rsidR="00E602E8" w:rsidRPr="000F3211">
        <w:rPr>
          <w:b/>
          <w:bCs/>
        </w:rPr>
        <w:t>-PRO, 0-PROTI, 0-Zdržel se</w:t>
      </w:r>
    </w:p>
    <w:p w14:paraId="69A548AC" w14:textId="2D45E159" w:rsidR="000C1892" w:rsidRDefault="000C1892" w:rsidP="00D97FC4">
      <w:pPr>
        <w:pStyle w:val="Odstavecseseznamem"/>
        <w:numPr>
          <w:ilvl w:val="0"/>
          <w:numId w:val="1"/>
        </w:numPr>
        <w:jc w:val="both"/>
      </w:pPr>
      <w:r>
        <w:lastRenderedPageBreak/>
        <w:t xml:space="preserve">Komise územního rozvoje doporučuje Radě městské části vznést dotaz na to, jakým způsobem byly zapracovány </w:t>
      </w:r>
      <w:r w:rsidR="00D97FC4">
        <w:t xml:space="preserve">a vypořádány  </w:t>
      </w:r>
      <w:r>
        <w:t xml:space="preserve">do studie připomínky Komise územního rozvoje </w:t>
      </w:r>
      <w:r w:rsidR="00D97FC4">
        <w:t xml:space="preserve">MČ Praha – Libuš </w:t>
      </w:r>
      <w:r w:rsidR="00B325D7">
        <w:t xml:space="preserve">z října 2024 a března 2025 </w:t>
      </w:r>
      <w:r w:rsidR="00D97FC4">
        <w:t>a informovat o tom Komisi územního rozvoje.</w:t>
      </w:r>
    </w:p>
    <w:p w14:paraId="17B7445A" w14:textId="4D023B2F" w:rsidR="005400CF" w:rsidRDefault="005400CF" w:rsidP="00D97FC4">
      <w:pPr>
        <w:pStyle w:val="Odstavecseseznamem"/>
        <w:numPr>
          <w:ilvl w:val="0"/>
          <w:numId w:val="1"/>
        </w:numPr>
        <w:jc w:val="both"/>
      </w:pPr>
      <w:r>
        <w:t xml:space="preserve">Příští zasedání komise v úterý </w:t>
      </w:r>
      <w:r w:rsidR="000C1892">
        <w:t>6.5</w:t>
      </w:r>
      <w:r>
        <w:t>.2025 v 18,00 hodin v zasedací místnosti č.p. 1</w:t>
      </w:r>
      <w:r w:rsidR="00AA484C">
        <w:t>.</w:t>
      </w:r>
    </w:p>
    <w:p w14:paraId="3B682AB7" w14:textId="77777777" w:rsidR="00AA484C" w:rsidRDefault="00AA484C" w:rsidP="00AA484C"/>
    <w:p w14:paraId="24AD487D" w14:textId="197F8AF3" w:rsidR="00AA484C" w:rsidRDefault="00AA484C" w:rsidP="00AA484C">
      <w:r>
        <w:t xml:space="preserve">V Praze dne </w:t>
      </w:r>
      <w:r w:rsidR="000C1892">
        <w:t>1.4</w:t>
      </w:r>
      <w:r>
        <w:t>.2025</w:t>
      </w:r>
    </w:p>
    <w:p w14:paraId="5503FFEC" w14:textId="04AACFCD" w:rsidR="00AA484C" w:rsidRDefault="00AA484C" w:rsidP="00AA484C">
      <w:r>
        <w:t>Zapsal: Mgr. Václav Kuthan</w:t>
      </w:r>
    </w:p>
    <w:p w14:paraId="318D69CC" w14:textId="77777777" w:rsidR="005400CF" w:rsidRDefault="005400CF" w:rsidP="005400CF"/>
    <w:p w14:paraId="35BCCC7E" w14:textId="77777777" w:rsidR="005400CF" w:rsidRDefault="005400CF" w:rsidP="005400CF"/>
    <w:p w14:paraId="5E29AE06" w14:textId="77777777" w:rsidR="00A5027B" w:rsidRDefault="00A5027B"/>
    <w:sectPr w:rsidR="00A50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E18B8"/>
    <w:multiLevelType w:val="hybridMultilevel"/>
    <w:tmpl w:val="E16C67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4EF131BD"/>
    <w:multiLevelType w:val="hybridMultilevel"/>
    <w:tmpl w:val="3D80BEAC"/>
    <w:lvl w:ilvl="0" w:tplc="8746F0D4">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
    <w:nsid w:val="6C4E498B"/>
    <w:multiLevelType w:val="hybridMultilevel"/>
    <w:tmpl w:val="A2A292F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7B"/>
    <w:rsid w:val="000641F4"/>
    <w:rsid w:val="000C1892"/>
    <w:rsid w:val="000F3211"/>
    <w:rsid w:val="001F6CD7"/>
    <w:rsid w:val="00302247"/>
    <w:rsid w:val="00310CE2"/>
    <w:rsid w:val="00401D1B"/>
    <w:rsid w:val="004D3DE1"/>
    <w:rsid w:val="004E7C3E"/>
    <w:rsid w:val="005400CF"/>
    <w:rsid w:val="0054652A"/>
    <w:rsid w:val="00590270"/>
    <w:rsid w:val="008A66A2"/>
    <w:rsid w:val="00A46087"/>
    <w:rsid w:val="00A5027B"/>
    <w:rsid w:val="00AA484C"/>
    <w:rsid w:val="00B325D7"/>
    <w:rsid w:val="00B3511D"/>
    <w:rsid w:val="00B44508"/>
    <w:rsid w:val="00BB079F"/>
    <w:rsid w:val="00D97FC4"/>
    <w:rsid w:val="00E602E8"/>
    <w:rsid w:val="00ED5EF6"/>
    <w:rsid w:val="00EF7547"/>
    <w:rsid w:val="00F35C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50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50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5027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5027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5027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5027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5027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5027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5027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5027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5027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5027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5027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5027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5027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5027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5027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5027B"/>
    <w:rPr>
      <w:rFonts w:eastAsiaTheme="majorEastAsia" w:cstheme="majorBidi"/>
      <w:color w:val="272727" w:themeColor="text1" w:themeTint="D8"/>
    </w:rPr>
  </w:style>
  <w:style w:type="paragraph" w:styleId="Nzev">
    <w:name w:val="Title"/>
    <w:basedOn w:val="Normln"/>
    <w:next w:val="Normln"/>
    <w:link w:val="NzevChar"/>
    <w:uiPriority w:val="10"/>
    <w:qFormat/>
    <w:rsid w:val="00A50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5027B"/>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A5027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A5027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5027B"/>
    <w:pPr>
      <w:spacing w:before="160"/>
      <w:jc w:val="center"/>
    </w:pPr>
    <w:rPr>
      <w:i/>
      <w:iCs/>
      <w:color w:val="404040" w:themeColor="text1" w:themeTint="BF"/>
    </w:rPr>
  </w:style>
  <w:style w:type="character" w:customStyle="1" w:styleId="CittChar">
    <w:name w:val="Citát Char"/>
    <w:basedOn w:val="Standardnpsmoodstavce"/>
    <w:link w:val="Citt"/>
    <w:uiPriority w:val="29"/>
    <w:rsid w:val="00A5027B"/>
    <w:rPr>
      <w:i/>
      <w:iCs/>
      <w:color w:val="404040" w:themeColor="text1" w:themeTint="BF"/>
    </w:rPr>
  </w:style>
  <w:style w:type="paragraph" w:styleId="Odstavecseseznamem">
    <w:name w:val="List Paragraph"/>
    <w:basedOn w:val="Normln"/>
    <w:uiPriority w:val="34"/>
    <w:qFormat/>
    <w:rsid w:val="00A5027B"/>
    <w:pPr>
      <w:ind w:left="720"/>
      <w:contextualSpacing/>
    </w:pPr>
  </w:style>
  <w:style w:type="character" w:styleId="Zdraznnintenzivn">
    <w:name w:val="Intense Emphasis"/>
    <w:basedOn w:val="Standardnpsmoodstavce"/>
    <w:uiPriority w:val="21"/>
    <w:qFormat/>
    <w:rsid w:val="00A5027B"/>
    <w:rPr>
      <w:i/>
      <w:iCs/>
      <w:color w:val="0F4761" w:themeColor="accent1" w:themeShade="BF"/>
    </w:rPr>
  </w:style>
  <w:style w:type="paragraph" w:styleId="Vrazncitt">
    <w:name w:val="Intense Quote"/>
    <w:basedOn w:val="Normln"/>
    <w:next w:val="Normln"/>
    <w:link w:val="VrazncittChar"/>
    <w:uiPriority w:val="30"/>
    <w:qFormat/>
    <w:rsid w:val="00A50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5027B"/>
    <w:rPr>
      <w:i/>
      <w:iCs/>
      <w:color w:val="0F4761" w:themeColor="accent1" w:themeShade="BF"/>
    </w:rPr>
  </w:style>
  <w:style w:type="character" w:styleId="Odkazintenzivn">
    <w:name w:val="Intense Reference"/>
    <w:basedOn w:val="Standardnpsmoodstavce"/>
    <w:uiPriority w:val="32"/>
    <w:qFormat/>
    <w:rsid w:val="00A5027B"/>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50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50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5027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5027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5027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5027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5027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5027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5027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5027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5027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5027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5027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5027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5027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5027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5027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5027B"/>
    <w:rPr>
      <w:rFonts w:eastAsiaTheme="majorEastAsia" w:cstheme="majorBidi"/>
      <w:color w:val="272727" w:themeColor="text1" w:themeTint="D8"/>
    </w:rPr>
  </w:style>
  <w:style w:type="paragraph" w:styleId="Nzev">
    <w:name w:val="Title"/>
    <w:basedOn w:val="Normln"/>
    <w:next w:val="Normln"/>
    <w:link w:val="NzevChar"/>
    <w:uiPriority w:val="10"/>
    <w:qFormat/>
    <w:rsid w:val="00A50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5027B"/>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A5027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A5027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5027B"/>
    <w:pPr>
      <w:spacing w:before="160"/>
      <w:jc w:val="center"/>
    </w:pPr>
    <w:rPr>
      <w:i/>
      <w:iCs/>
      <w:color w:val="404040" w:themeColor="text1" w:themeTint="BF"/>
    </w:rPr>
  </w:style>
  <w:style w:type="character" w:customStyle="1" w:styleId="CittChar">
    <w:name w:val="Citát Char"/>
    <w:basedOn w:val="Standardnpsmoodstavce"/>
    <w:link w:val="Citt"/>
    <w:uiPriority w:val="29"/>
    <w:rsid w:val="00A5027B"/>
    <w:rPr>
      <w:i/>
      <w:iCs/>
      <w:color w:val="404040" w:themeColor="text1" w:themeTint="BF"/>
    </w:rPr>
  </w:style>
  <w:style w:type="paragraph" w:styleId="Odstavecseseznamem">
    <w:name w:val="List Paragraph"/>
    <w:basedOn w:val="Normln"/>
    <w:uiPriority w:val="34"/>
    <w:qFormat/>
    <w:rsid w:val="00A5027B"/>
    <w:pPr>
      <w:ind w:left="720"/>
      <w:contextualSpacing/>
    </w:pPr>
  </w:style>
  <w:style w:type="character" w:styleId="Zdraznnintenzivn">
    <w:name w:val="Intense Emphasis"/>
    <w:basedOn w:val="Standardnpsmoodstavce"/>
    <w:uiPriority w:val="21"/>
    <w:qFormat/>
    <w:rsid w:val="00A5027B"/>
    <w:rPr>
      <w:i/>
      <w:iCs/>
      <w:color w:val="0F4761" w:themeColor="accent1" w:themeShade="BF"/>
    </w:rPr>
  </w:style>
  <w:style w:type="paragraph" w:styleId="Vrazncitt">
    <w:name w:val="Intense Quote"/>
    <w:basedOn w:val="Normln"/>
    <w:next w:val="Normln"/>
    <w:link w:val="VrazncittChar"/>
    <w:uiPriority w:val="30"/>
    <w:qFormat/>
    <w:rsid w:val="00A50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5027B"/>
    <w:rPr>
      <w:i/>
      <w:iCs/>
      <w:color w:val="0F4761" w:themeColor="accent1" w:themeShade="BF"/>
    </w:rPr>
  </w:style>
  <w:style w:type="character" w:styleId="Odkazintenzivn">
    <w:name w:val="Intense Reference"/>
    <w:basedOn w:val="Standardnpsmoodstavce"/>
    <w:uiPriority w:val="32"/>
    <w:qFormat/>
    <w:rsid w:val="00A502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1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3540</Characters>
  <Application>Microsoft Office Word</Application>
  <DocSecurity>4</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Kuthan</dc:creator>
  <cp:lastModifiedBy>Helena Kolouchová</cp:lastModifiedBy>
  <cp:revision>2</cp:revision>
  <cp:lastPrinted>2025-04-02T05:43:00Z</cp:lastPrinted>
  <dcterms:created xsi:type="dcterms:W3CDTF">2025-04-02T05:44:00Z</dcterms:created>
  <dcterms:modified xsi:type="dcterms:W3CDTF">2025-04-02T05:44:00Z</dcterms:modified>
</cp:coreProperties>
</file>