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  <w:gridCol w:w="1111"/>
      </w:tblGrid>
      <w:tr w:rsidR="00587989" w:rsidTr="00D76286">
        <w:trPr>
          <w:trHeight w:val="84"/>
        </w:trPr>
        <w:tc>
          <w:tcPr>
            <w:tcW w:w="10150" w:type="dxa"/>
            <w:gridSpan w:val="2"/>
          </w:tcPr>
          <w:p w:rsidR="00587989" w:rsidRPr="00766B61" w:rsidRDefault="00587989" w:rsidP="00897129">
            <w:pPr>
              <w:pStyle w:val="Default"/>
              <w:ind w:right="141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8"/>
                <w:szCs w:val="28"/>
              </w:rPr>
            </w:pPr>
            <w:r w:rsidRPr="00766B61">
              <w:rPr>
                <w:rFonts w:ascii="Times New Roman" w:hAnsi="Times New Roman" w:cs="Times New Roman"/>
                <w:b/>
                <w:bCs/>
                <w:i/>
                <w:color w:val="auto"/>
                <w:sz w:val="28"/>
                <w:szCs w:val="28"/>
              </w:rPr>
              <w:t>Důvodová zpráva</w:t>
            </w:r>
          </w:p>
          <w:p w:rsidR="00244939" w:rsidRDefault="00244939" w:rsidP="00897129">
            <w:pPr>
              <w:pStyle w:val="Default"/>
              <w:ind w:right="141"/>
              <w:jc w:val="center"/>
            </w:pPr>
          </w:p>
          <w:p w:rsidR="00EE64E4" w:rsidRDefault="00EE64E4" w:rsidP="00897129">
            <w:pPr>
              <w:pStyle w:val="Default"/>
              <w:ind w:right="141"/>
              <w:jc w:val="center"/>
            </w:pPr>
          </w:p>
          <w:p w:rsidR="00587989" w:rsidRDefault="00244939" w:rsidP="00D76286">
            <w:pPr>
              <w:pStyle w:val="Default"/>
              <w:tabs>
                <w:tab w:val="left" w:pos="8931"/>
              </w:tabs>
              <w:ind w:right="861"/>
              <w:jc w:val="both"/>
            </w:pPr>
            <w:r w:rsidRPr="00244939">
              <w:rPr>
                <w:rFonts w:ascii="Times New Roman" w:hAnsi="Times New Roman" w:cs="Times New Roman"/>
              </w:rPr>
              <w:t>Na základě zákona č. 131/2000 Sb., o hlavním městě Praze, ve znění pozdějších předpisů, zákona č. 250/2000 Sb., o rozpočtových pravidlech územních rozpočtů, ve znění pozdějších předpisů a zákona č. 218/2000 Sb., o rozpočtových pravidlech a o změně některých souvisejících zákonů (rozpočtová pravidla), ve znění pozdějších předpis</w:t>
            </w:r>
            <w:r>
              <w:rPr>
                <w:rFonts w:ascii="Times New Roman" w:hAnsi="Times New Roman" w:cs="Times New Roman"/>
              </w:rPr>
              <w:t>ů, předkládá městská část Praha-Libuš</w:t>
            </w:r>
            <w:r w:rsidRPr="00244939">
              <w:rPr>
                <w:rFonts w:ascii="Times New Roman" w:hAnsi="Times New Roman" w:cs="Times New Roman"/>
              </w:rPr>
              <w:t xml:space="preserve"> plnění příjmů a čerpání výdajů za rok 2022. </w:t>
            </w:r>
          </w:p>
          <w:p w:rsidR="00244939" w:rsidRPr="00587989" w:rsidRDefault="00244939" w:rsidP="00897129">
            <w:pPr>
              <w:pStyle w:val="Default"/>
              <w:ind w:right="141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7989" w:rsidRPr="00587989" w:rsidTr="00D76286">
        <w:trPr>
          <w:gridAfter w:val="1"/>
          <w:wAfter w:w="1111" w:type="dxa"/>
          <w:trHeight w:val="74"/>
        </w:trPr>
        <w:tc>
          <w:tcPr>
            <w:tcW w:w="9039" w:type="dxa"/>
          </w:tcPr>
          <w:p w:rsidR="00587989" w:rsidRDefault="00587989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E64E4" w:rsidRDefault="00EE64E4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44939" w:rsidRDefault="00587989" w:rsidP="00703837">
            <w:pPr>
              <w:pStyle w:val="Default"/>
              <w:ind w:right="-25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>Stavy a obraty na bankovních účtech:</w:t>
            </w:r>
          </w:p>
          <w:p w:rsidR="00587989" w:rsidRPr="00587989" w:rsidRDefault="00587989" w:rsidP="00703837">
            <w:pPr>
              <w:pStyle w:val="Default"/>
              <w:ind w:right="-250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Počáteční a konečný stav na základním běžném účtu a účtech fondů je uveden v</w:t>
            </w:r>
            <w:r w:rsidR="00CC5453">
              <w:rPr>
                <w:rFonts w:ascii="Times New Roman" w:hAnsi="Times New Roman" w:cs="Times New Roman"/>
              </w:rPr>
              <w:t xml:space="preserve"> příloze č. 1, </w:t>
            </w:r>
            <w:r w:rsidRPr="00587989">
              <w:rPr>
                <w:rFonts w:ascii="Times New Roman" w:hAnsi="Times New Roman" w:cs="Times New Roman"/>
              </w:rPr>
              <w:t xml:space="preserve">oddíle IV. Zobrazuje </w:t>
            </w:r>
            <w:r w:rsidR="00E402DE" w:rsidRPr="00587989">
              <w:rPr>
                <w:rFonts w:ascii="Times New Roman" w:hAnsi="Times New Roman" w:cs="Times New Roman"/>
              </w:rPr>
              <w:t xml:space="preserve">výsledek plynulého toku příjmů a realizace plateb k </w:t>
            </w:r>
            <w:proofErr w:type="gramStart"/>
            <w:r w:rsidR="00E402DE" w:rsidRPr="00587989">
              <w:rPr>
                <w:rFonts w:ascii="Times New Roman" w:hAnsi="Times New Roman" w:cs="Times New Roman"/>
              </w:rPr>
              <w:t>31.12.2022</w:t>
            </w:r>
            <w:proofErr w:type="gramEnd"/>
            <w:r w:rsidR="00E402DE" w:rsidRPr="00587989">
              <w:rPr>
                <w:rFonts w:ascii="Times New Roman" w:hAnsi="Times New Roman" w:cs="Times New Roman"/>
              </w:rPr>
              <w:t>.</w:t>
            </w:r>
          </w:p>
        </w:tc>
      </w:tr>
      <w:tr w:rsidR="00244939" w:rsidRPr="00587989" w:rsidTr="00D76286">
        <w:trPr>
          <w:gridAfter w:val="1"/>
          <w:wAfter w:w="1111" w:type="dxa"/>
          <w:trHeight w:val="384"/>
        </w:trPr>
        <w:tc>
          <w:tcPr>
            <w:tcW w:w="9039" w:type="dxa"/>
          </w:tcPr>
          <w:p w:rsidR="00244939" w:rsidRDefault="00244939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  <w:p w:rsidR="00EE64E4" w:rsidRPr="00587989" w:rsidRDefault="00EE64E4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D76286">
        <w:trPr>
          <w:gridAfter w:val="1"/>
          <w:wAfter w:w="1111" w:type="dxa"/>
          <w:trHeight w:val="74"/>
        </w:trPr>
        <w:tc>
          <w:tcPr>
            <w:tcW w:w="9039" w:type="dxa"/>
          </w:tcPr>
          <w:p w:rsidR="007677D0" w:rsidRPr="00EE64E4" w:rsidRDefault="007677D0" w:rsidP="00703837">
            <w:pPr>
              <w:pStyle w:val="mcntdefault"/>
              <w:spacing w:before="24" w:beforeAutospacing="0" w:after="24" w:afterAutospacing="0"/>
              <w:ind w:right="141"/>
              <w:rPr>
                <w:b/>
                <w:bCs/>
                <w:color w:val="222222"/>
              </w:rPr>
            </w:pPr>
            <w:r w:rsidRPr="00EE64E4">
              <w:rPr>
                <w:b/>
                <w:bCs/>
                <w:color w:val="222222"/>
              </w:rPr>
              <w:t>Dotace  a jejich čerpání</w:t>
            </w:r>
            <w:r w:rsidR="00EE64E4" w:rsidRPr="00EE64E4">
              <w:rPr>
                <w:b/>
                <w:bCs/>
                <w:color w:val="222222"/>
              </w:rPr>
              <w:t>:</w:t>
            </w:r>
          </w:p>
          <w:p w:rsidR="00CE60EF" w:rsidRDefault="0042340E" w:rsidP="00703837">
            <w:pPr>
              <w:pStyle w:val="mcntdefault"/>
              <w:spacing w:before="24" w:beforeAutospacing="0" w:after="24" w:afterAutospacing="0"/>
              <w:ind w:right="-108"/>
            </w:pPr>
            <w:r>
              <w:t>Z roku 2021 (případně předchozích let) bylo do roku 2022 ponecháno 3 825 744,54 Kč</w:t>
            </w:r>
          </w:p>
          <w:p w:rsidR="00CE60EF" w:rsidRPr="00CE60EF" w:rsidRDefault="00CE60EF" w:rsidP="00703837">
            <w:pPr>
              <w:pStyle w:val="mcntdefault"/>
              <w:spacing w:before="24" w:beforeAutospacing="0" w:after="24" w:afterAutospacing="0"/>
              <w:ind w:right="-108"/>
            </w:pPr>
            <w:r w:rsidRPr="00CE60EF">
              <w:t>+</w:t>
            </w:r>
            <w:r w:rsidR="0042340E">
              <w:t xml:space="preserve"> </w:t>
            </w:r>
            <w:r w:rsidRPr="00CE60EF">
              <w:t>neinvestiční</w:t>
            </w:r>
            <w:r w:rsidR="0042340E">
              <w:t xml:space="preserve"> dotace na </w:t>
            </w:r>
            <w:r w:rsidRPr="00CE60EF">
              <w:t xml:space="preserve">opatření v souvislosti s šířením </w:t>
            </w:r>
            <w:proofErr w:type="spellStart"/>
            <w:r w:rsidRPr="00CE60EF">
              <w:t>koronaviru</w:t>
            </w:r>
            <w:proofErr w:type="spellEnd"/>
            <w:r w:rsidRPr="00CE60EF">
              <w:t xml:space="preserve"> ve výši 197 919,60 Kč.  </w:t>
            </w:r>
          </w:p>
          <w:p w:rsidR="00D76286" w:rsidRDefault="007677D0" w:rsidP="00703837">
            <w:pPr>
              <w:pStyle w:val="mcntdefault"/>
              <w:spacing w:before="24" w:beforeAutospacing="0" w:after="24" w:afterAutospacing="0"/>
              <w:ind w:right="-108"/>
            </w:pPr>
            <w:r w:rsidRPr="00CE60EF">
              <w:t>V roce 2022 obdržela MČ Praha-Libuš investiční dotace v celkové výši</w:t>
            </w:r>
            <w:r w:rsidRPr="00CE60EF">
              <w:rPr>
                <w:rStyle w:val="apple-converted-space"/>
              </w:rPr>
              <w:t> </w:t>
            </w:r>
            <w:r w:rsidRPr="00CE60EF">
              <w:t xml:space="preserve">22 422 000 Kč, </w:t>
            </w:r>
          </w:p>
          <w:p w:rsidR="007677D0" w:rsidRPr="00CE60EF" w:rsidRDefault="007677D0" w:rsidP="00703837">
            <w:pPr>
              <w:pStyle w:val="mcntdefault"/>
              <w:spacing w:before="24" w:beforeAutospacing="0" w:after="24" w:afterAutospacing="0"/>
              <w:ind w:right="-108"/>
            </w:pPr>
            <w:r w:rsidRPr="00CE60EF">
              <w:t xml:space="preserve">z toho </w:t>
            </w:r>
            <w:r w:rsidR="00EE64E4">
              <w:t xml:space="preserve">bylo </w:t>
            </w:r>
            <w:r w:rsidRPr="00CE60EF">
              <w:t xml:space="preserve">vyčerpáno </w:t>
            </w:r>
            <w:r w:rsidRPr="00CE60EF">
              <w:rPr>
                <w:rStyle w:val="apple-converted-space"/>
              </w:rPr>
              <w:t> </w:t>
            </w:r>
            <w:r w:rsidRPr="00CE60EF">
              <w:t xml:space="preserve">6 838 990,52 Kč, </w:t>
            </w:r>
            <w:r w:rsidR="00EE64E4" w:rsidRPr="00CE60EF">
              <w:t>do roku 2023</w:t>
            </w:r>
            <w:r w:rsidRPr="00CE60EF">
              <w:rPr>
                <w:rStyle w:val="apple-converted-space"/>
              </w:rPr>
              <w:t> </w:t>
            </w:r>
            <w:r w:rsidRPr="00CE60EF">
              <w:t>ponecháno</w:t>
            </w:r>
            <w:r w:rsidRPr="00CE60EF">
              <w:rPr>
                <w:rStyle w:val="apple-converted-space"/>
              </w:rPr>
              <w:t xml:space="preserve">  </w:t>
            </w:r>
            <w:r w:rsidRPr="00CE60EF">
              <w:t>15 583 009,48 Kč.</w:t>
            </w:r>
          </w:p>
          <w:p w:rsidR="007677D0" w:rsidRPr="00CE60EF" w:rsidRDefault="007677D0" w:rsidP="00703837">
            <w:pPr>
              <w:pStyle w:val="mcntdefault"/>
              <w:spacing w:before="24" w:beforeAutospacing="0" w:after="24" w:afterAutospacing="0"/>
              <w:ind w:right="-108"/>
            </w:pPr>
            <w:r w:rsidRPr="00CE60EF">
              <w:t>Neinvestiční dotac</w:t>
            </w:r>
            <w:r w:rsidR="0042340E">
              <w:t>i</w:t>
            </w:r>
            <w:r w:rsidRPr="00CE60EF">
              <w:t xml:space="preserve"> ve výši</w:t>
            </w:r>
            <w:r w:rsidRPr="00CE60EF">
              <w:rPr>
                <w:rStyle w:val="apple-converted-space"/>
              </w:rPr>
              <w:t> </w:t>
            </w:r>
            <w:r w:rsidRPr="00CE60EF">
              <w:t>7 994</w:t>
            </w:r>
            <w:r w:rsidR="0042340E">
              <w:t> </w:t>
            </w:r>
            <w:r w:rsidRPr="00CE60EF">
              <w:t>400</w:t>
            </w:r>
            <w:r w:rsidR="0042340E">
              <w:t>,-</w:t>
            </w:r>
            <w:r w:rsidRPr="00CE60EF">
              <w:t xml:space="preserve"> Kč</w:t>
            </w:r>
            <w:r w:rsidR="0042340E">
              <w:t>,</w:t>
            </w:r>
            <w:r w:rsidRPr="00CE60EF">
              <w:rPr>
                <w:rStyle w:val="apple-converted-space"/>
              </w:rPr>
              <w:t> </w:t>
            </w:r>
            <w:r w:rsidRPr="00CE60EF">
              <w:t>vyčerpáno</w:t>
            </w:r>
            <w:r w:rsidRPr="00CE60EF">
              <w:rPr>
                <w:rStyle w:val="apple-converted-space"/>
              </w:rPr>
              <w:t> </w:t>
            </w:r>
            <w:r w:rsidRPr="00CE60EF">
              <w:t xml:space="preserve">4 616 702,83 Kč, </w:t>
            </w:r>
            <w:r w:rsidR="00EE64E4" w:rsidRPr="00CE60EF">
              <w:t>do roku</w:t>
            </w:r>
            <w:r w:rsidR="00D76286">
              <w:t xml:space="preserve"> </w:t>
            </w:r>
            <w:r w:rsidR="00EE64E4" w:rsidRPr="00CE60EF">
              <w:t>2023</w:t>
            </w:r>
            <w:r w:rsidR="00EE64E4">
              <w:t xml:space="preserve"> </w:t>
            </w:r>
            <w:r w:rsidRPr="00CE60EF">
              <w:t>ponecháno</w:t>
            </w:r>
            <w:r w:rsidR="00EE64E4">
              <w:t xml:space="preserve"> </w:t>
            </w:r>
            <w:r w:rsidRPr="00CE60EF">
              <w:rPr>
                <w:rStyle w:val="apple-converted-space"/>
              </w:rPr>
              <w:t> </w:t>
            </w:r>
            <w:r w:rsidR="0042340E">
              <w:rPr>
                <w:rStyle w:val="apple-converted-space"/>
              </w:rPr>
              <w:t xml:space="preserve"> </w:t>
            </w:r>
            <w:r w:rsidRPr="00CE60EF">
              <w:t>3 351 313,49 Kč.</w:t>
            </w:r>
          </w:p>
          <w:p w:rsidR="00244939" w:rsidRDefault="00244939" w:rsidP="00703837">
            <w:pPr>
              <w:pStyle w:val="Default"/>
              <w:ind w:right="141"/>
              <w:rPr>
                <w:rFonts w:ascii="Times New Roman" w:hAnsi="Times New Roman" w:cs="Times New Roman"/>
                <w:b/>
                <w:bCs/>
              </w:rPr>
            </w:pPr>
          </w:p>
          <w:p w:rsidR="00EE64E4" w:rsidRDefault="00EE64E4" w:rsidP="00703837">
            <w:pPr>
              <w:pStyle w:val="Default"/>
              <w:ind w:right="141"/>
              <w:rPr>
                <w:rFonts w:ascii="Times New Roman" w:hAnsi="Times New Roman" w:cs="Times New Roman"/>
                <w:b/>
                <w:bCs/>
              </w:rPr>
            </w:pPr>
          </w:p>
          <w:p w:rsidR="00587989" w:rsidRPr="00587989" w:rsidRDefault="00587989" w:rsidP="00703837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 xml:space="preserve">Peněžní fondy: </w:t>
            </w:r>
          </w:p>
        </w:tc>
      </w:tr>
      <w:tr w:rsidR="00587989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244939" w:rsidRPr="001E44F3" w:rsidRDefault="00587989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  <w:bCs/>
              </w:rPr>
            </w:pPr>
            <w:r w:rsidRPr="001E44F3">
              <w:rPr>
                <w:rFonts w:ascii="Times New Roman" w:hAnsi="Times New Roman" w:cs="Times New Roman"/>
                <w:bCs/>
              </w:rPr>
              <w:t xml:space="preserve">Sociální fond: </w:t>
            </w:r>
          </w:p>
          <w:p w:rsidR="00244939" w:rsidRDefault="00587989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Počáteční </w:t>
            </w:r>
            <w:proofErr w:type="gramStart"/>
            <w:r w:rsidRPr="00587989">
              <w:rPr>
                <w:rFonts w:ascii="Times New Roman" w:hAnsi="Times New Roman" w:cs="Times New Roman"/>
              </w:rPr>
              <w:t xml:space="preserve">stav </w:t>
            </w:r>
            <w:r w:rsidR="00244939"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  <w:r w:rsidRPr="00587989">
              <w:rPr>
                <w:rFonts w:ascii="Times New Roman" w:hAnsi="Times New Roman" w:cs="Times New Roman"/>
              </w:rPr>
              <w:t>662 838,71</w:t>
            </w:r>
            <w:proofErr w:type="gramEnd"/>
            <w:r w:rsidRPr="00587989">
              <w:rPr>
                <w:rFonts w:ascii="Times New Roman" w:hAnsi="Times New Roman" w:cs="Times New Roman"/>
              </w:rPr>
              <w:t xml:space="preserve"> Kč </w:t>
            </w:r>
          </w:p>
          <w:p w:rsidR="00587989" w:rsidRDefault="00587989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Zůstatek k 31.12.2022 </w:t>
            </w:r>
            <w:r w:rsidR="00511D66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  <w:r w:rsidR="00511D66" w:rsidRPr="00587989">
              <w:rPr>
                <w:rFonts w:ascii="Times New Roman" w:hAnsi="Times New Roman" w:cs="Times New Roman"/>
              </w:rPr>
              <w:t>814 422,85 Kč</w:t>
            </w:r>
          </w:p>
          <w:p w:rsidR="00511D66" w:rsidRPr="00587989" w:rsidRDefault="00511D66" w:rsidP="00703837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Čerpán na výdaje stravování, penzijní připojištění a dary k životním výročím. </w:t>
            </w:r>
          </w:p>
        </w:tc>
      </w:tr>
      <w:tr w:rsidR="00587989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D76286" w:rsidRDefault="00D76286" w:rsidP="00897129">
            <w:pPr>
              <w:pStyle w:val="Default"/>
              <w:ind w:right="141"/>
              <w:rPr>
                <w:rFonts w:ascii="Times New Roman" w:hAnsi="Times New Roman" w:cs="Times New Roman"/>
                <w:bCs/>
              </w:rPr>
            </w:pPr>
          </w:p>
          <w:p w:rsidR="00D76286" w:rsidRDefault="00D76286" w:rsidP="00897129">
            <w:pPr>
              <w:pStyle w:val="Default"/>
              <w:ind w:right="141"/>
              <w:rPr>
                <w:rFonts w:ascii="Times New Roman" w:hAnsi="Times New Roman" w:cs="Times New Roman"/>
                <w:bCs/>
              </w:rPr>
            </w:pPr>
          </w:p>
          <w:p w:rsidR="00D76286" w:rsidRDefault="00D76286" w:rsidP="00897129">
            <w:pPr>
              <w:pStyle w:val="Default"/>
              <w:ind w:right="141"/>
              <w:rPr>
                <w:rFonts w:ascii="Times New Roman" w:hAnsi="Times New Roman" w:cs="Times New Roman"/>
                <w:bCs/>
              </w:rPr>
            </w:pPr>
          </w:p>
          <w:p w:rsidR="00C116F6" w:rsidRPr="001E44F3" w:rsidRDefault="00C116F6" w:rsidP="00897129">
            <w:pPr>
              <w:pStyle w:val="Default"/>
              <w:ind w:right="141"/>
              <w:rPr>
                <w:rFonts w:ascii="Times New Roman" w:hAnsi="Times New Roman" w:cs="Times New Roman"/>
                <w:bCs/>
              </w:rPr>
            </w:pPr>
            <w:r w:rsidRPr="001E44F3">
              <w:rPr>
                <w:rFonts w:ascii="Times New Roman" w:hAnsi="Times New Roman" w:cs="Times New Roman"/>
                <w:bCs/>
              </w:rPr>
              <w:t xml:space="preserve">Fond rezerv a rozvoje: </w:t>
            </w:r>
          </w:p>
          <w:p w:rsidR="00C116F6" w:rsidRDefault="00C116F6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Počáteční </w:t>
            </w:r>
            <w:proofErr w:type="gramStart"/>
            <w:r w:rsidRPr="00587989">
              <w:rPr>
                <w:rFonts w:ascii="Times New Roman" w:hAnsi="Times New Roman" w:cs="Times New Roman"/>
              </w:rPr>
              <w:t xml:space="preserve">stav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</w:t>
            </w:r>
            <w:r w:rsidRPr="00587989">
              <w:rPr>
                <w:rFonts w:ascii="Times New Roman" w:hAnsi="Times New Roman" w:cs="Times New Roman"/>
              </w:rPr>
              <w:t>15 575 374,25</w:t>
            </w:r>
            <w:proofErr w:type="gramEnd"/>
            <w:r w:rsidRPr="00587989">
              <w:rPr>
                <w:rFonts w:ascii="Times New Roman" w:hAnsi="Times New Roman" w:cs="Times New Roman"/>
              </w:rPr>
              <w:t xml:space="preserve"> Kč</w:t>
            </w:r>
          </w:p>
          <w:p w:rsidR="00D76286" w:rsidRDefault="00D76286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  <w:p w:rsidR="00244939" w:rsidRDefault="00C116F6" w:rsidP="00897129">
            <w:pPr>
              <w:pStyle w:val="Default"/>
              <w:ind w:right="141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</w:rPr>
              <w:t>Během roku tvořen z úroků a částky 1 253 951,01 Kč (vratka NFV MŠ Mezi Domy).</w:t>
            </w:r>
          </w:p>
          <w:p w:rsidR="00C116F6" w:rsidRDefault="00C116F6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Výdaje pouze bankovní poplatky. </w:t>
            </w:r>
          </w:p>
          <w:p w:rsidR="00587989" w:rsidRPr="00587989" w:rsidRDefault="00587989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D76286">
        <w:trPr>
          <w:gridAfter w:val="1"/>
          <w:wAfter w:w="1111" w:type="dxa"/>
          <w:trHeight w:val="74"/>
        </w:trPr>
        <w:tc>
          <w:tcPr>
            <w:tcW w:w="9039" w:type="dxa"/>
          </w:tcPr>
          <w:p w:rsidR="00511D66" w:rsidRDefault="00587989" w:rsidP="00D76286">
            <w:pPr>
              <w:pStyle w:val="Default"/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>Majetek:</w:t>
            </w:r>
          </w:p>
          <w:p w:rsidR="00587989" w:rsidRPr="00587989" w:rsidRDefault="00587989" w:rsidP="00CC5453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MČ sestavila účetní závěrku za rok 2022 podle zákona č. 563/1991 Sb., o účetnictví a prováděcí vyhlášky č. 410/2009 Sb. Podle </w:t>
            </w:r>
            <w:r w:rsidR="00511D66" w:rsidRPr="00587989">
              <w:rPr>
                <w:rFonts w:ascii="Times New Roman" w:hAnsi="Times New Roman" w:cs="Times New Roman"/>
              </w:rPr>
              <w:t xml:space="preserve">vyhlášky č. 220/2013 Sb. byly </w:t>
            </w:r>
            <w:r w:rsidR="00CC5453">
              <w:rPr>
                <w:rFonts w:ascii="Times New Roman" w:hAnsi="Times New Roman" w:cs="Times New Roman"/>
              </w:rPr>
              <w:t>radě</w:t>
            </w:r>
            <w:r w:rsidR="00511D66" w:rsidRPr="00587989">
              <w:rPr>
                <w:rFonts w:ascii="Times New Roman" w:hAnsi="Times New Roman" w:cs="Times New Roman"/>
              </w:rPr>
              <w:t xml:space="preserve"> městské části předloženy doklady tvořící účetní závěrku, tj. Rozvaha-bilance, Výkaz zisku a</w:t>
            </w:r>
            <w:r w:rsidR="0042340E" w:rsidRPr="00587989">
              <w:rPr>
                <w:rFonts w:ascii="Times New Roman" w:hAnsi="Times New Roman" w:cs="Times New Roman"/>
              </w:rPr>
              <w:t xml:space="preserve"> ztrát, Příloha k účetní závěrce, Přehled o peněžních tocích, Přehled o změnách vlastního kapitálu, Zpráva o výsledku přezkoumání hospodaření městské části Praha-Libuš za období 2022</w:t>
            </w:r>
            <w:r w:rsidR="0042340E">
              <w:rPr>
                <w:rFonts w:ascii="Times New Roman" w:hAnsi="Times New Roman" w:cs="Times New Roman"/>
              </w:rPr>
              <w:t>,</w:t>
            </w:r>
            <w:r w:rsidR="0042340E" w:rsidRPr="00587989">
              <w:rPr>
                <w:rFonts w:ascii="Times New Roman" w:hAnsi="Times New Roman" w:cs="Times New Roman"/>
              </w:rPr>
              <w:t xml:space="preserve"> Inventarizační zpráva sestavená městskou částí ke dni </w:t>
            </w:r>
            <w:proofErr w:type="gramStart"/>
            <w:r w:rsidR="0042340E" w:rsidRPr="00587989">
              <w:rPr>
                <w:rFonts w:ascii="Times New Roman" w:hAnsi="Times New Roman" w:cs="Times New Roman"/>
              </w:rPr>
              <w:t>31.12.2022</w:t>
            </w:r>
            <w:proofErr w:type="gramEnd"/>
            <w:r w:rsidR="0042340E" w:rsidRPr="00587989">
              <w:rPr>
                <w:rFonts w:ascii="Times New Roman" w:hAnsi="Times New Roman" w:cs="Times New Roman"/>
              </w:rPr>
              <w:t>.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D76286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Účetní závěrka MČ Praha-Libuš za rok 2022 byla schválena RMČ Praha-Libuš, dne </w:t>
            </w:r>
            <w:proofErr w:type="gramStart"/>
            <w:r w:rsidRPr="00587989">
              <w:rPr>
                <w:rFonts w:ascii="Times New Roman" w:hAnsi="Times New Roman" w:cs="Times New Roman"/>
              </w:rPr>
              <w:t>22.5.2023</w:t>
            </w:r>
            <w:proofErr w:type="gramEnd"/>
            <w:r w:rsidRPr="00587989">
              <w:rPr>
                <w:rFonts w:ascii="Times New Roman" w:hAnsi="Times New Roman" w:cs="Times New Roman"/>
              </w:rPr>
              <w:t>, usnesení č. 122/2023.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D76286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V roce 2022 MČ Praha-Libuš pořídila DHM - sekací stroj. 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42340E" w:rsidRPr="00587989" w:rsidTr="00D76286">
        <w:trPr>
          <w:gridAfter w:val="1"/>
          <w:wAfter w:w="1111" w:type="dxa"/>
          <w:trHeight w:val="80"/>
        </w:trPr>
        <w:tc>
          <w:tcPr>
            <w:tcW w:w="9039" w:type="dxa"/>
          </w:tcPr>
          <w:p w:rsidR="0042340E" w:rsidRPr="00587989" w:rsidRDefault="0042340E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42340E" w:rsidRPr="00587989" w:rsidTr="00D76286">
        <w:trPr>
          <w:gridAfter w:val="1"/>
          <w:wAfter w:w="1111" w:type="dxa"/>
          <w:trHeight w:val="74"/>
        </w:trPr>
        <w:tc>
          <w:tcPr>
            <w:tcW w:w="9039" w:type="dxa"/>
          </w:tcPr>
          <w:p w:rsidR="0042340E" w:rsidRDefault="0042340E" w:rsidP="002E129F">
            <w:pPr>
              <w:pStyle w:val="Default"/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 xml:space="preserve">Finanční vypořádání: </w:t>
            </w:r>
          </w:p>
          <w:p w:rsidR="0042340E" w:rsidRPr="00587989" w:rsidRDefault="0042340E" w:rsidP="002E129F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Zástupci odboru rozpočtu MHMP projednali se zástupci MČ Praha-Libuš finanční vypořádání účelových dotací v březnu 2023.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2E129F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U nedočerpaných dotací bylo zažádáno o jejich ponechání a čerpání v roce 2023. MČ odvede do rozpočtu HMP celkem 49 983,50 Kč (místní poplatky, zkoušky zvláštní odborné způsobilosti), do státního rozpočtu odvede</w:t>
            </w:r>
            <w:r w:rsidR="003205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33 746,14Kč </w:t>
            </w:r>
            <w:r w:rsidRPr="00587989">
              <w:rPr>
                <w:rFonts w:ascii="Times New Roman" w:hAnsi="Times New Roman" w:cs="Times New Roman"/>
              </w:rPr>
              <w:t>(nevyčerpané dotace na obecní a prezidentské volby, projekt MVČR - integrace cizinců)</w:t>
            </w:r>
            <w:r w:rsidR="002E129F">
              <w:rPr>
                <w:rFonts w:ascii="Times New Roman" w:hAnsi="Times New Roman" w:cs="Times New Roman"/>
              </w:rPr>
              <w:t>.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42340E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340E" w:rsidRPr="00587989" w:rsidTr="00D76286">
        <w:trPr>
          <w:gridAfter w:val="1"/>
          <w:wAfter w:w="1111" w:type="dxa"/>
          <w:trHeight w:val="70"/>
        </w:trPr>
        <w:tc>
          <w:tcPr>
            <w:tcW w:w="9039" w:type="dxa"/>
          </w:tcPr>
          <w:p w:rsidR="0042340E" w:rsidRPr="00587989" w:rsidRDefault="0042340E" w:rsidP="00897129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</w:tbl>
    <w:p w:rsidR="005E2F42" w:rsidRDefault="005E2F42" w:rsidP="00CF70A6">
      <w:pPr>
        <w:pStyle w:val="Default"/>
        <w:ind w:right="141"/>
        <w:rPr>
          <w:rFonts w:ascii="Times New Roman" w:hAnsi="Times New Roman" w:cs="Times New Roman"/>
          <w:b/>
          <w:bCs/>
        </w:rPr>
        <w:sectPr w:rsidR="005E2F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0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55"/>
        <w:gridCol w:w="284"/>
      </w:tblGrid>
      <w:tr w:rsidR="00587989" w:rsidRPr="00587989" w:rsidTr="00CF70A6">
        <w:trPr>
          <w:trHeight w:val="74"/>
        </w:trPr>
        <w:tc>
          <w:tcPr>
            <w:tcW w:w="9039" w:type="dxa"/>
            <w:gridSpan w:val="2"/>
          </w:tcPr>
          <w:p w:rsidR="00511D66" w:rsidRDefault="00511D66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11D66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 xml:space="preserve">Přezkoumání hospodaření: </w:t>
            </w:r>
          </w:p>
          <w:p w:rsidR="005E2F42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Přezkoumání hospodaření odborem kontrolních činností magistrátu HMP bylo provedeno formou dílčího a </w:t>
            </w:r>
            <w:r w:rsidR="005E2F42" w:rsidRPr="00587989">
              <w:rPr>
                <w:rFonts w:ascii="Times New Roman" w:hAnsi="Times New Roman" w:cs="Times New Roman"/>
              </w:rPr>
              <w:t xml:space="preserve">konečného přezkoumání podle zákona č. 420/2000 Sb., o </w:t>
            </w:r>
            <w:r w:rsidR="007677D0">
              <w:rPr>
                <w:rFonts w:ascii="Times New Roman" w:hAnsi="Times New Roman" w:cs="Times New Roman"/>
              </w:rPr>
              <w:t>p</w:t>
            </w:r>
            <w:r w:rsidR="005E2F42" w:rsidRPr="00587989">
              <w:rPr>
                <w:rFonts w:ascii="Times New Roman" w:hAnsi="Times New Roman" w:cs="Times New Roman"/>
              </w:rPr>
              <w:t>řezkoumávání hospodaření územních samosprávných celků. Zpráva byla zástupcům předána a projednána.</w:t>
            </w:r>
          </w:p>
          <w:p w:rsidR="002E129F" w:rsidRDefault="005E2F42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Závěr:</w:t>
            </w:r>
          </w:p>
          <w:p w:rsidR="00587989" w:rsidRDefault="002E129F" w:rsidP="00766B61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5E2F42" w:rsidRPr="00587989">
              <w:rPr>
                <w:rFonts w:ascii="Times New Roman" w:hAnsi="Times New Roman" w:cs="Times New Roman"/>
              </w:rPr>
              <w:t>a základě výsledků přezkoumání hospodaření za rok 2022, ve smyslu zákona č. 420/2004 Sb., lze konstatovat, že</w:t>
            </w:r>
            <w:r w:rsidR="005E2F42">
              <w:rPr>
                <w:rFonts w:ascii="Times New Roman" w:hAnsi="Times New Roman" w:cs="Times New Roman"/>
              </w:rPr>
              <w:t xml:space="preserve"> </w:t>
            </w:r>
            <w:r w:rsidR="005E2F42" w:rsidRPr="00587989">
              <w:rPr>
                <w:rFonts w:ascii="Times New Roman" w:hAnsi="Times New Roman" w:cs="Times New Roman"/>
              </w:rPr>
              <w:t>kromě chyb a nedostatků zjištěných při dílčím přezkoumání hospodaření, které již byly napraveny, byly zjištěny chyby a nedostatky, které</w:t>
            </w:r>
            <w:r w:rsidR="005E2F42">
              <w:rPr>
                <w:rFonts w:ascii="Times New Roman" w:hAnsi="Times New Roman" w:cs="Times New Roman"/>
              </w:rPr>
              <w:t xml:space="preserve"> </w:t>
            </w:r>
            <w:r w:rsidR="005E2F42" w:rsidRPr="00587989">
              <w:rPr>
                <w:rFonts w:ascii="Times New Roman" w:hAnsi="Times New Roman" w:cs="Times New Roman"/>
              </w:rPr>
              <w:t xml:space="preserve">nemají závažnost nedostatků uvedených v ustanovení § 10 odst. 3 </w:t>
            </w:r>
            <w:proofErr w:type="spellStart"/>
            <w:proofErr w:type="gramStart"/>
            <w:r w:rsidR="005E2F42" w:rsidRPr="00587989">
              <w:rPr>
                <w:rFonts w:ascii="Times New Roman" w:hAnsi="Times New Roman" w:cs="Times New Roman"/>
              </w:rPr>
              <w:t>písm.c</w:t>
            </w:r>
            <w:proofErr w:type="spellEnd"/>
            <w:r w:rsidR="005E2F42" w:rsidRPr="00587989">
              <w:rPr>
                <w:rFonts w:ascii="Times New Roman" w:hAnsi="Times New Roman" w:cs="Times New Roman"/>
              </w:rPr>
              <w:t>) uvedeného</w:t>
            </w:r>
            <w:proofErr w:type="gramEnd"/>
            <w:r w:rsidR="005E2F42" w:rsidRPr="00587989">
              <w:rPr>
                <w:rFonts w:ascii="Times New Roman" w:hAnsi="Times New Roman" w:cs="Times New Roman"/>
              </w:rPr>
              <w:t xml:space="preserve"> zákona: v případě účtování úroků a bankovních poplatků</w:t>
            </w:r>
            <w:r w:rsidR="005E2F42">
              <w:rPr>
                <w:rFonts w:ascii="Times New Roman" w:hAnsi="Times New Roman" w:cs="Times New Roman"/>
              </w:rPr>
              <w:t xml:space="preserve"> </w:t>
            </w:r>
            <w:r w:rsidR="005E2F42" w:rsidRPr="00587989">
              <w:rPr>
                <w:rFonts w:ascii="Times New Roman" w:hAnsi="Times New Roman" w:cs="Times New Roman"/>
              </w:rPr>
              <w:t>nebylo účtováno o tvorbě a čerpání fondů v souladu s ČÚS č. 704 - Fondy účetní jednotky. Dále byly zjištěny chyby a nedostatky ve smyslu</w:t>
            </w:r>
            <w:r w:rsidR="005E2F42">
              <w:rPr>
                <w:rFonts w:ascii="Times New Roman" w:hAnsi="Times New Roman" w:cs="Times New Roman"/>
              </w:rPr>
              <w:t xml:space="preserve"> </w:t>
            </w:r>
            <w:r w:rsidR="005E2F42" w:rsidRPr="00587989">
              <w:rPr>
                <w:rFonts w:ascii="Times New Roman" w:hAnsi="Times New Roman" w:cs="Times New Roman"/>
              </w:rPr>
              <w:t>ustanovení § 10 odst. 3 písm. c) uvedeného zákona spočívající v neodstranění nedostatků zjištěných při konečném přezkoumání z roku 2021:</w:t>
            </w:r>
          </w:p>
          <w:p w:rsidR="002E129F" w:rsidRDefault="005E2F42" w:rsidP="00766B61">
            <w:pPr>
              <w:pStyle w:val="Default"/>
              <w:ind w:right="-108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při provádění inventarizace za rok 2021 nebyly zjištěny rozdíly účtu 251 majetkové cenné papíry k obchodování ve výši 606,10 Kč, účet 378 ostatní krátkodobé závazky - nebyla odúčtována částka peněžní jistoty ve výši 50 000 Kč přes skutečnost, že došlo k vypořádání této částky v</w:t>
            </w:r>
            <w:r w:rsidR="00CE60EF">
              <w:rPr>
                <w:rFonts w:ascii="Times New Roman" w:hAnsi="Times New Roman" w:cs="Times New Roman"/>
              </w:rPr>
              <w:t> </w:t>
            </w:r>
            <w:r w:rsidRPr="00587989">
              <w:rPr>
                <w:rFonts w:ascii="Times New Roman" w:hAnsi="Times New Roman" w:cs="Times New Roman"/>
              </w:rPr>
              <w:t>rámci</w:t>
            </w:r>
            <w:r w:rsidR="00CE60EF">
              <w:rPr>
                <w:rFonts w:ascii="Times New Roman" w:hAnsi="Times New Roman" w:cs="Times New Roman"/>
              </w:rPr>
              <w:t xml:space="preserve"> </w:t>
            </w:r>
            <w:r w:rsidR="00CE60EF" w:rsidRPr="00587989">
              <w:rPr>
                <w:rFonts w:ascii="Times New Roman" w:hAnsi="Times New Roman" w:cs="Times New Roman"/>
              </w:rPr>
              <w:t>závěrečného vyúčtování smlouvy o dílo, účet 982 dlouhodobé podmíněné závazky, na kterém byla evidována částka 23 550 000 Kč dle smlouvy</w:t>
            </w:r>
            <w:r w:rsidR="00CE60EF">
              <w:rPr>
                <w:rFonts w:ascii="Times New Roman" w:hAnsi="Times New Roman" w:cs="Times New Roman"/>
              </w:rPr>
              <w:t xml:space="preserve"> </w:t>
            </w:r>
            <w:r w:rsidR="00CE60EF" w:rsidRPr="00587989">
              <w:rPr>
                <w:rFonts w:ascii="Times New Roman" w:hAnsi="Times New Roman" w:cs="Times New Roman"/>
              </w:rPr>
              <w:t xml:space="preserve">o zastavení nemovitostí, přičemž zástavní právo již zaniklo. </w:t>
            </w:r>
          </w:p>
          <w:p w:rsidR="002E129F" w:rsidRDefault="002E129F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  <w:p w:rsidR="002E129F" w:rsidRDefault="002E129F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  <w:p w:rsidR="005E2F42" w:rsidRPr="00587989" w:rsidRDefault="00CE60EF" w:rsidP="00766B61">
            <w:pPr>
              <w:pStyle w:val="Default"/>
              <w:ind w:right="-108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Na základě uvedeného MČ Praha-Libuš přijala opatření k nápravě chyb a nedostatků ze zjištění z konečného přezkoumání hospodaření MČ Praha-Libuš za rok 2022, </w:t>
            </w:r>
            <w:proofErr w:type="gramStart"/>
            <w:r w:rsidRPr="00587989">
              <w:rPr>
                <w:rFonts w:ascii="Times New Roman" w:hAnsi="Times New Roman" w:cs="Times New Roman"/>
              </w:rPr>
              <w:t>viz.</w:t>
            </w:r>
            <w:proofErr w:type="gramEnd"/>
            <w:r w:rsidRPr="00587989">
              <w:rPr>
                <w:rFonts w:ascii="Times New Roman" w:hAnsi="Times New Roman" w:cs="Times New Roman"/>
              </w:rPr>
              <w:t xml:space="preserve"> Příloha č. 1B</w:t>
            </w:r>
            <w:r w:rsidR="00EE64E4">
              <w:rPr>
                <w:rFonts w:ascii="Times New Roman" w:hAnsi="Times New Roman" w:cs="Times New Roman"/>
              </w:rPr>
              <w:t>.</w:t>
            </w:r>
          </w:p>
        </w:tc>
      </w:tr>
      <w:tr w:rsidR="00587989" w:rsidRPr="00587989" w:rsidTr="002E129F">
        <w:trPr>
          <w:trHeight w:val="80"/>
        </w:trPr>
        <w:tc>
          <w:tcPr>
            <w:tcW w:w="9039" w:type="dxa"/>
            <w:gridSpan w:val="2"/>
          </w:tcPr>
          <w:p w:rsidR="00CE60EF" w:rsidRPr="00587989" w:rsidRDefault="00CE60EF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4"/>
        </w:trPr>
        <w:tc>
          <w:tcPr>
            <w:tcW w:w="8755" w:type="dxa"/>
          </w:tcPr>
          <w:p w:rsidR="005E2F42" w:rsidRDefault="005E2F42" w:rsidP="00CF70A6">
            <w:pPr>
              <w:pStyle w:val="Default"/>
              <w:ind w:right="141"/>
              <w:rPr>
                <w:rFonts w:ascii="Times New Roman" w:hAnsi="Times New Roman" w:cs="Times New Roman"/>
                <w:b/>
                <w:bCs/>
              </w:rPr>
            </w:pPr>
          </w:p>
          <w:p w:rsid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  <w:b/>
                <w:bCs/>
              </w:rPr>
            </w:pPr>
            <w:r w:rsidRPr="00587989">
              <w:rPr>
                <w:rFonts w:ascii="Times New Roman" w:hAnsi="Times New Roman" w:cs="Times New Roman"/>
                <w:b/>
                <w:bCs/>
              </w:rPr>
              <w:t>Příspěvkové organizace a JSDH:</w:t>
            </w:r>
          </w:p>
          <w:p w:rsidR="005E2F42" w:rsidRPr="00587989" w:rsidRDefault="005E2F42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Všechny příspěvkové organizace sestavily účetní závěrku za rok 2022 podle zákona č. 563/1999 Sb., o účetnictví a prováděcí vyhlášky </w:t>
            </w:r>
            <w:r w:rsidR="00CF70A6" w:rsidRPr="00587989">
              <w:rPr>
                <w:rFonts w:ascii="Times New Roman" w:hAnsi="Times New Roman" w:cs="Times New Roman"/>
              </w:rPr>
              <w:t>č. 410/2009 Sb. Roční účetní závěrka a doklady k inventarizaci majetku byly Městské části Praha-Libuš i MHMP předány</w:t>
            </w:r>
            <w:r w:rsidR="00CF70A6">
              <w:rPr>
                <w:rFonts w:ascii="Times New Roman" w:hAnsi="Times New Roman" w:cs="Times New Roman"/>
              </w:rPr>
              <w:t>.</w:t>
            </w: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CF70A6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Podle vyhlášky č. 220/2013 Sb., o schvalování účetních závěrek byly Radou městské části účetní závěrky všech PO projednány a schváleny usnesením č. 71/2023 ze dne </w:t>
            </w:r>
            <w:proofErr w:type="gramStart"/>
            <w:r w:rsidRPr="00587989">
              <w:rPr>
                <w:rFonts w:ascii="Times New Roman" w:hAnsi="Times New Roman" w:cs="Times New Roman"/>
              </w:rPr>
              <w:t>20.3.2023</w:t>
            </w:r>
            <w:proofErr w:type="gramEnd"/>
            <w:r w:rsidRPr="00587989">
              <w:rPr>
                <w:rFonts w:ascii="Times New Roman" w:hAnsi="Times New Roman" w:cs="Times New Roman"/>
              </w:rPr>
              <w:t>.</w:t>
            </w: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lastRenderedPageBreak/>
              <w:t xml:space="preserve">Organizace hospodařily s vyrovnaným výsledkem, návrhy na rozdělení hospodářského výsledku byly schváleny RMČ usnesením č. 90/2023 ze </w:t>
            </w:r>
            <w:proofErr w:type="gramStart"/>
            <w:r w:rsidR="00CF70A6" w:rsidRPr="00587989">
              <w:rPr>
                <w:rFonts w:ascii="Times New Roman" w:hAnsi="Times New Roman" w:cs="Times New Roman"/>
              </w:rPr>
              <w:t>17.4.2023</w:t>
            </w:r>
            <w:proofErr w:type="gramEnd"/>
            <w:r w:rsidR="00CF70A6" w:rsidRPr="00587989">
              <w:rPr>
                <w:rFonts w:ascii="Times New Roman" w:hAnsi="Times New Roman" w:cs="Times New Roman"/>
              </w:rPr>
              <w:t>.</w:t>
            </w: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Nevyčerpaný provozní příspěvek z roku 2022 ve výši 217 696,90 Kč MŠ K Lukám byl ponechán a schválen k čerpání v roce 2023 dle </w:t>
            </w:r>
            <w:r w:rsidR="009823E1" w:rsidRPr="00587989">
              <w:rPr>
                <w:rFonts w:ascii="Times New Roman" w:hAnsi="Times New Roman" w:cs="Times New Roman"/>
              </w:rPr>
              <w:t>žádosti paní ředitelky na dovybavení drobným majetkem a případné drobné opravy</w:t>
            </w:r>
            <w:r w:rsidR="009823E1">
              <w:rPr>
                <w:rFonts w:ascii="Times New Roman" w:hAnsi="Times New Roman" w:cs="Times New Roman"/>
              </w:rPr>
              <w:t>.</w:t>
            </w: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>JSDH Písnice hospodařila s celkovými příjmy 1 598 500 Kč, čerpala 1 221 402,84 Kč. Z MHMP obdržela účelovou dotaci ve výši 517 500 Kč.</w:t>
            </w: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9823E1" w:rsidRDefault="009823E1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  <w:p w:rsidR="009823E1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JSDH Libuš hospodařila s celkovými příjmy 7 176 900 Kč, čerpala 1 171 226,95 Kč. </w:t>
            </w:r>
          </w:p>
          <w:p w:rsidR="009823E1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  <w:r w:rsidRPr="00587989">
              <w:rPr>
                <w:rFonts w:ascii="Times New Roman" w:hAnsi="Times New Roman" w:cs="Times New Roman"/>
              </w:rPr>
              <w:t xml:space="preserve">Z MHMP obdržela účelovou dotaci ve výši 392 000 Kč, dále </w:t>
            </w:r>
            <w:r w:rsidR="00C116F6" w:rsidRPr="00587989">
              <w:rPr>
                <w:rFonts w:ascii="Times New Roman" w:hAnsi="Times New Roman" w:cs="Times New Roman"/>
              </w:rPr>
              <w:t>obdržela dotaci za zásah při požáru v Hřensku ve výši 45 500 z HMP a ve výši 49 700 Kč od HZS, z MHMP obdržela účelovou investiční dotaci na</w:t>
            </w:r>
            <w:r w:rsidR="009823E1">
              <w:rPr>
                <w:rFonts w:ascii="Times New Roman" w:hAnsi="Times New Roman" w:cs="Times New Roman"/>
              </w:rPr>
              <w:t xml:space="preserve"> </w:t>
            </w:r>
            <w:r w:rsidR="009823E1" w:rsidRPr="00587989">
              <w:rPr>
                <w:rFonts w:ascii="Times New Roman" w:hAnsi="Times New Roman" w:cs="Times New Roman"/>
              </w:rPr>
              <w:t>rekonstrukci HZ SDH Libuš ve výši 2 000 000 Kč, dále ji byla ponechána nevyčerpaná dotace z min. let ve výši 2 864 700 Kč a dotace ve výši 1 072 000 Kč (změna účelu z Policejní služebny na rekonstrukci HZ SDH Libuš).</w:t>
            </w:r>
          </w:p>
          <w:p w:rsidR="00587989" w:rsidRPr="00587989" w:rsidRDefault="00587989" w:rsidP="007677D0">
            <w:pPr>
              <w:pStyle w:val="Default"/>
              <w:ind w:right="1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P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  <w:tr w:rsidR="00587989" w:rsidRPr="00587989" w:rsidTr="00CF70A6">
        <w:trPr>
          <w:gridAfter w:val="1"/>
          <w:wAfter w:w="284" w:type="dxa"/>
          <w:trHeight w:val="70"/>
        </w:trPr>
        <w:tc>
          <w:tcPr>
            <w:tcW w:w="8755" w:type="dxa"/>
          </w:tcPr>
          <w:p w:rsid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  <w:tbl>
            <w:tblPr>
              <w:tblW w:w="96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05"/>
              <w:gridCol w:w="4806"/>
            </w:tblGrid>
            <w:tr w:rsidR="00587989" w:rsidTr="00897129">
              <w:trPr>
                <w:trHeight w:val="2208"/>
              </w:trPr>
              <w:tc>
                <w:tcPr>
                  <w:tcW w:w="9611" w:type="dxa"/>
                  <w:gridSpan w:val="2"/>
                  <w:tcBorders>
                    <w:left w:val="nil"/>
                    <w:bottom w:val="nil"/>
                  </w:tcBorders>
                </w:tcPr>
                <w:p w:rsidR="0089712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87989">
                    <w:rPr>
                      <w:rFonts w:ascii="Times New Roman" w:hAnsi="Times New Roman" w:cs="Times New Roman"/>
                      <w:b/>
                      <w:bCs/>
                    </w:rPr>
                    <w:t xml:space="preserve">Hospodářská činnost: </w:t>
                  </w:r>
                </w:p>
                <w:p w:rsidR="0089712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>Za rok 2022 hospodařila MČ Praha-Libuš se ziskem.</w:t>
                  </w:r>
                </w:p>
                <w:p w:rsidR="00CE60EF" w:rsidRPr="00587989" w:rsidRDefault="00CE60EF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89712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87989">
                    <w:rPr>
                      <w:rFonts w:ascii="Times New Roman" w:hAnsi="Times New Roman" w:cs="Times New Roman"/>
                    </w:rPr>
                    <w:t>Náklady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4 755 576,84</w:t>
                  </w:r>
                  <w:proofErr w:type="gramEnd"/>
                  <w:r w:rsidRPr="00587989">
                    <w:rPr>
                      <w:rFonts w:ascii="Times New Roman" w:hAnsi="Times New Roman" w:cs="Times New Roman"/>
                    </w:rPr>
                    <w:t xml:space="preserve"> Kč</w:t>
                  </w:r>
                </w:p>
                <w:p w:rsidR="0089712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89712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87989">
                    <w:rPr>
                      <w:rFonts w:ascii="Times New Roman" w:hAnsi="Times New Roman" w:cs="Times New Roman"/>
                    </w:rPr>
                    <w:t>Výnosy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6 855 758,59</w:t>
                  </w:r>
                  <w:proofErr w:type="gramEnd"/>
                  <w:r w:rsidRPr="00587989">
                    <w:rPr>
                      <w:rFonts w:ascii="Times New Roman" w:hAnsi="Times New Roman" w:cs="Times New Roman"/>
                    </w:rPr>
                    <w:t xml:space="preserve"> Kč </w:t>
                  </w:r>
                </w:p>
                <w:p w:rsidR="0089712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89712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 xml:space="preserve">Hospodářský </w:t>
                  </w:r>
                  <w:proofErr w:type="gramStart"/>
                  <w:r w:rsidRPr="00587989">
                    <w:rPr>
                      <w:rFonts w:ascii="Times New Roman" w:hAnsi="Times New Roman" w:cs="Times New Roman"/>
                    </w:rPr>
                    <w:t>výsledek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2 100 181,75</w:t>
                  </w:r>
                  <w:proofErr w:type="gramEnd"/>
                  <w:r w:rsidRPr="00587989">
                    <w:rPr>
                      <w:rFonts w:ascii="Times New Roman" w:hAnsi="Times New Roman" w:cs="Times New Roman"/>
                    </w:rPr>
                    <w:t xml:space="preserve"> K </w:t>
                  </w:r>
                </w:p>
                <w:p w:rsidR="0058798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87989" w:rsidTr="00897129">
              <w:trPr>
                <w:trHeight w:val="1656"/>
              </w:trPr>
              <w:tc>
                <w:tcPr>
                  <w:tcW w:w="9611" w:type="dxa"/>
                  <w:gridSpan w:val="2"/>
                  <w:tcBorders>
                    <w:bottom w:val="nil"/>
                  </w:tcBorders>
                </w:tcPr>
                <w:p w:rsidR="002E129F" w:rsidRDefault="002E129F" w:rsidP="009B4317">
                  <w:pPr>
                    <w:pStyle w:val="Default"/>
                    <w:ind w:right="431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E129F" w:rsidRDefault="002E129F" w:rsidP="009B4317">
                  <w:pPr>
                    <w:pStyle w:val="Default"/>
                    <w:ind w:right="431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CE60EF" w:rsidRDefault="00587989" w:rsidP="009B4317">
                  <w:pPr>
                    <w:pStyle w:val="Default"/>
                    <w:ind w:right="431"/>
                    <w:jc w:val="both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>Pro rok 2022 bylo počítáno s ho</w:t>
                  </w:r>
                  <w:r w:rsidR="005E2F42">
                    <w:rPr>
                      <w:rFonts w:ascii="Times New Roman" w:hAnsi="Times New Roman" w:cs="Times New Roman"/>
                    </w:rPr>
                    <w:t>s</w:t>
                  </w:r>
                  <w:r w:rsidRPr="00587989">
                    <w:rPr>
                      <w:rFonts w:ascii="Times New Roman" w:hAnsi="Times New Roman" w:cs="Times New Roman"/>
                    </w:rPr>
                    <w:t>podářským výsledkem ve vý</w:t>
                  </w:r>
                  <w:r w:rsidR="00CE60EF">
                    <w:rPr>
                      <w:rFonts w:ascii="Times New Roman" w:hAnsi="Times New Roman" w:cs="Times New Roman"/>
                    </w:rPr>
                    <w:t xml:space="preserve">ši 15 922 000 Kč. </w:t>
                  </w:r>
                </w:p>
                <w:p w:rsidR="009B4317" w:rsidRDefault="009B4317" w:rsidP="009B4317">
                  <w:pPr>
                    <w:pStyle w:val="Default"/>
                    <w:ind w:right="43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Do konce roku </w:t>
                  </w:r>
                  <w:r w:rsidR="00CE60EF">
                    <w:rPr>
                      <w:rFonts w:ascii="Times New Roman" w:hAnsi="Times New Roman" w:cs="Times New Roman"/>
                    </w:rPr>
                    <w:t xml:space="preserve">však </w:t>
                  </w:r>
                  <w:r>
                    <w:rPr>
                      <w:rFonts w:ascii="Times New Roman" w:hAnsi="Times New Roman" w:cs="Times New Roman"/>
                    </w:rPr>
                    <w:t xml:space="preserve">nedošlo </w:t>
                  </w:r>
                  <w:r w:rsidR="00CE60EF">
                    <w:rPr>
                      <w:rFonts w:ascii="Times New Roman" w:hAnsi="Times New Roman" w:cs="Times New Roman"/>
                    </w:rPr>
                    <w:t>k</w:t>
                  </w:r>
                  <w:r>
                    <w:rPr>
                      <w:rFonts w:ascii="Times New Roman" w:hAnsi="Times New Roman" w:cs="Times New Roman"/>
                    </w:rPr>
                    <w:t xml:space="preserve">e </w:t>
                  </w:r>
                  <w:r w:rsidR="00CE60EF">
                    <w:rPr>
                      <w:rFonts w:ascii="Times New Roman" w:hAnsi="Times New Roman" w:cs="Times New Roman"/>
                    </w:rPr>
                    <w:t>vklad</w:t>
                  </w:r>
                  <w:r>
                    <w:rPr>
                      <w:rFonts w:ascii="Times New Roman" w:hAnsi="Times New Roman" w:cs="Times New Roman"/>
                    </w:rPr>
                    <w:t>u</w:t>
                  </w:r>
                  <w:r w:rsidR="00CE60EF">
                    <w:rPr>
                      <w:rFonts w:ascii="Times New Roman" w:hAnsi="Times New Roman" w:cs="Times New Roman"/>
                    </w:rPr>
                    <w:t xml:space="preserve"> kupní smlouvy o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 xml:space="preserve"> prodej</w:t>
                  </w:r>
                  <w:r w:rsidR="00CE60EF">
                    <w:rPr>
                      <w:rFonts w:ascii="Times New Roman" w:hAnsi="Times New Roman" w:cs="Times New Roman"/>
                    </w:rPr>
                    <w:t>i</w:t>
                  </w:r>
                  <w:r w:rsidR="0042340E">
                    <w:rPr>
                      <w:rFonts w:ascii="Times New Roman" w:hAnsi="Times New Roman" w:cs="Times New Roman"/>
                    </w:rPr>
                    <w:t xml:space="preserve"> BD Zvonička </w:t>
                  </w:r>
                </w:p>
                <w:p w:rsidR="00897129" w:rsidRPr="00587989" w:rsidRDefault="0042340E" w:rsidP="009B4317">
                  <w:pPr>
                    <w:pStyle w:val="Default"/>
                    <w:ind w:right="43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do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katastru nemovitostí</w:t>
                  </w:r>
                  <w:r w:rsidR="009B4317">
                    <w:rPr>
                      <w:rFonts w:ascii="Times New Roman" w:hAnsi="Times New Roman" w:cs="Times New Roman"/>
                    </w:rPr>
                    <w:t xml:space="preserve">.  </w:t>
                  </w:r>
                  <w:r w:rsidR="005E2F42" w:rsidRPr="00587989">
                    <w:rPr>
                      <w:rFonts w:ascii="Times New Roman" w:hAnsi="Times New Roman" w:cs="Times New Roman"/>
                    </w:rPr>
                    <w:t>Prodej a tedy výnos</w:t>
                  </w:r>
                  <w:r w:rsidR="00CE60E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97129" w:rsidRPr="00587989">
                    <w:rPr>
                      <w:rFonts w:ascii="Times New Roman" w:hAnsi="Times New Roman" w:cs="Times New Roman"/>
                    </w:rPr>
                    <w:t>z prodeje bude zúčtován v roce 2023.</w:t>
                  </w:r>
                </w:p>
                <w:p w:rsidR="0089712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42340E" w:rsidRDefault="0042340E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766B61" w:rsidRDefault="00766B61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766B61" w:rsidRDefault="00766B61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87989">
                    <w:rPr>
                      <w:rFonts w:ascii="Times New Roman" w:hAnsi="Times New Roman" w:cs="Times New Roman"/>
                      <w:b/>
                      <w:bCs/>
                    </w:rPr>
                    <w:t>Smlouva o obhospodařování finančních nástrojů: stav k 31.12.2022</w:t>
                  </w:r>
                </w:p>
                <w:p w:rsidR="00766B61" w:rsidRPr="00587989" w:rsidRDefault="00766B61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4805" w:type="dxa"/>
                </w:tcPr>
                <w:p w:rsidR="0058798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 xml:space="preserve">Portfolio </w:t>
                  </w:r>
                  <w:r w:rsidR="00C116F6" w:rsidRPr="00587989">
                    <w:rPr>
                      <w:rFonts w:ascii="Times New Roman" w:hAnsi="Times New Roman" w:cs="Times New Roman"/>
                    </w:rPr>
                    <w:t>9208422/0800 CZ</w:t>
                  </w:r>
                  <w:r w:rsidR="00C116F6">
                    <w:rPr>
                      <w:rFonts w:ascii="Times New Roman" w:hAnsi="Times New Roman" w:cs="Times New Roman"/>
                    </w:rPr>
                    <w:t xml:space="preserve">                                                </w:t>
                  </w:r>
                  <w:r w:rsidR="00C116F6" w:rsidRPr="0058798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4806" w:type="dxa"/>
                </w:tcPr>
                <w:p w:rsidR="00587989" w:rsidRPr="00587989" w:rsidRDefault="00C116F6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2 433 481,32 Kč</w:t>
                  </w:r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9611" w:type="dxa"/>
                  <w:gridSpan w:val="2"/>
                </w:tcPr>
                <w:p w:rsidR="00587989" w:rsidRPr="00587989" w:rsidRDefault="00C116F6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 xml:space="preserve">9208692/0800 </w:t>
                  </w:r>
                  <w:proofErr w:type="gramStart"/>
                  <w:r w:rsidR="00587989" w:rsidRPr="00587989">
                    <w:rPr>
                      <w:rFonts w:ascii="Times New Roman" w:hAnsi="Times New Roman" w:cs="Times New Roman"/>
                    </w:rPr>
                    <w:t>USD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 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 xml:space="preserve"> 222,77</w:t>
                  </w:r>
                  <w:proofErr w:type="gramEnd"/>
                  <w:r w:rsidR="00587989" w:rsidRPr="00587989">
                    <w:rPr>
                      <w:rFonts w:ascii="Times New Roman" w:hAnsi="Times New Roman" w:cs="Times New Roman"/>
                    </w:rPr>
                    <w:t xml:space="preserve"> Kč </w:t>
                  </w:r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9611" w:type="dxa"/>
                  <w:gridSpan w:val="2"/>
                </w:tcPr>
                <w:p w:rsidR="00587989" w:rsidRPr="00587989" w:rsidRDefault="00C116F6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 xml:space="preserve">9208502/0800 </w:t>
                  </w:r>
                  <w:proofErr w:type="gramStart"/>
                  <w:r w:rsidR="00587989" w:rsidRPr="00587989">
                    <w:rPr>
                      <w:rFonts w:ascii="Times New Roman" w:hAnsi="Times New Roman" w:cs="Times New Roman"/>
                    </w:rPr>
                    <w:t xml:space="preserve">EUR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</w:t>
                  </w:r>
                  <w:r w:rsidR="00587989" w:rsidRPr="00587989">
                    <w:rPr>
                      <w:rFonts w:ascii="Times New Roman" w:hAnsi="Times New Roman" w:cs="Times New Roman"/>
                    </w:rPr>
                    <w:t>0 Kč</w:t>
                  </w:r>
                  <w:proofErr w:type="gramEnd"/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9611" w:type="dxa"/>
                  <w:gridSpan w:val="2"/>
                </w:tcPr>
                <w:p w:rsidR="0058798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>Cenné papíry - účet 251</w:t>
                  </w:r>
                  <w:r w:rsidR="005E2F42">
                    <w:rPr>
                      <w:rFonts w:ascii="Times New Roman" w:hAnsi="Times New Roman" w:cs="Times New Roman"/>
                    </w:rPr>
                    <w:t xml:space="preserve">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 xml:space="preserve"> 3 108 227,19 Kč</w:t>
                  </w:r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9611" w:type="dxa"/>
                  <w:gridSpan w:val="2"/>
                </w:tcPr>
                <w:p w:rsidR="0058798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>Cenné papíry - účet 253</w:t>
                  </w:r>
                  <w:r w:rsidR="005E2F42">
                    <w:rPr>
                      <w:rFonts w:ascii="Times New Roman" w:hAnsi="Times New Roman" w:cs="Times New Roman"/>
                    </w:rPr>
                    <w:t xml:space="preserve">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15 421 971,22 Kč</w:t>
                  </w:r>
                </w:p>
              </w:tc>
            </w:tr>
            <w:tr w:rsidR="00587989" w:rsidTr="00897129">
              <w:trPr>
                <w:trHeight w:val="70"/>
              </w:trPr>
              <w:tc>
                <w:tcPr>
                  <w:tcW w:w="9611" w:type="dxa"/>
                  <w:gridSpan w:val="2"/>
                </w:tcPr>
                <w:p w:rsidR="0058798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 xml:space="preserve">Cenné papíry - účet 256 </w:t>
                  </w:r>
                  <w:r w:rsidR="005E2F42">
                    <w:rPr>
                      <w:rFonts w:ascii="Times New Roman" w:hAnsi="Times New Roman" w:cs="Times New Roman"/>
                    </w:rPr>
                    <w:t xml:space="preserve">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3 986 974,15 Kč</w:t>
                  </w:r>
                </w:p>
              </w:tc>
            </w:tr>
            <w:tr w:rsidR="00587989" w:rsidTr="00897129">
              <w:trPr>
                <w:trHeight w:val="552"/>
              </w:trPr>
              <w:tc>
                <w:tcPr>
                  <w:tcW w:w="9611" w:type="dxa"/>
                  <w:gridSpan w:val="2"/>
                </w:tcPr>
                <w:p w:rsidR="00897129" w:rsidRPr="00587989" w:rsidRDefault="0058798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 xml:space="preserve">Příjem z úroků </w:t>
                  </w:r>
                  <w:r w:rsidR="005E2F42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233 714,71 Kč</w:t>
                  </w:r>
                </w:p>
                <w:p w:rsidR="00587989" w:rsidRPr="00587989" w:rsidRDefault="00897129" w:rsidP="00CF70A6">
                  <w:pPr>
                    <w:pStyle w:val="Default"/>
                    <w:ind w:right="141"/>
                    <w:rPr>
                      <w:rFonts w:ascii="Times New Roman" w:hAnsi="Times New Roman" w:cs="Times New Roman"/>
                    </w:rPr>
                  </w:pPr>
                  <w:r w:rsidRPr="00587989">
                    <w:rPr>
                      <w:rFonts w:ascii="Times New Roman" w:hAnsi="Times New Roman" w:cs="Times New Roman"/>
                    </w:rPr>
                    <w:t xml:space="preserve">Náklad z </w:t>
                  </w:r>
                  <w:proofErr w:type="gramStart"/>
                  <w:r w:rsidRPr="00587989">
                    <w:rPr>
                      <w:rFonts w:ascii="Times New Roman" w:hAnsi="Times New Roman" w:cs="Times New Roman"/>
                    </w:rPr>
                    <w:t xml:space="preserve">obhospodařování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</w:t>
                  </w:r>
                  <w:r w:rsidRPr="00587989">
                    <w:rPr>
                      <w:rFonts w:ascii="Times New Roman" w:hAnsi="Times New Roman" w:cs="Times New Roman"/>
                    </w:rPr>
                    <w:t>62 831,99</w:t>
                  </w:r>
                  <w:proofErr w:type="gramEnd"/>
                  <w:r w:rsidRPr="00587989">
                    <w:rPr>
                      <w:rFonts w:ascii="Times New Roman" w:hAnsi="Times New Roman" w:cs="Times New Roman"/>
                    </w:rPr>
                    <w:t xml:space="preserve"> Kč</w:t>
                  </w:r>
                </w:p>
              </w:tc>
            </w:tr>
          </w:tbl>
          <w:p w:rsidR="00587989" w:rsidRPr="00587989" w:rsidRDefault="00587989" w:rsidP="00CF70A6">
            <w:pPr>
              <w:pStyle w:val="Default"/>
              <w:ind w:right="141"/>
              <w:rPr>
                <w:rFonts w:ascii="Times New Roman" w:hAnsi="Times New Roman" w:cs="Times New Roman"/>
              </w:rPr>
            </w:pPr>
          </w:p>
        </w:tc>
      </w:tr>
    </w:tbl>
    <w:p w:rsidR="00CE60EF" w:rsidRDefault="00CE60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60EF" w:rsidRPr="00587989" w:rsidRDefault="00CE60EF">
      <w:pPr>
        <w:rPr>
          <w:rFonts w:ascii="Times New Roman" w:hAnsi="Times New Roman" w:cs="Times New Roman"/>
          <w:sz w:val="24"/>
          <w:szCs w:val="24"/>
        </w:rPr>
      </w:pPr>
    </w:p>
    <w:sectPr w:rsidR="00CE60EF" w:rsidRPr="00587989" w:rsidSect="005E2F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89"/>
    <w:rsid w:val="001E44F3"/>
    <w:rsid w:val="00244939"/>
    <w:rsid w:val="002E129F"/>
    <w:rsid w:val="002F0FC3"/>
    <w:rsid w:val="00320518"/>
    <w:rsid w:val="0042340E"/>
    <w:rsid w:val="00511D66"/>
    <w:rsid w:val="00587989"/>
    <w:rsid w:val="005E2F42"/>
    <w:rsid w:val="00703837"/>
    <w:rsid w:val="00766B61"/>
    <w:rsid w:val="007677D0"/>
    <w:rsid w:val="00897129"/>
    <w:rsid w:val="008C084F"/>
    <w:rsid w:val="009823E1"/>
    <w:rsid w:val="009B4317"/>
    <w:rsid w:val="00A12C1D"/>
    <w:rsid w:val="00AB5B62"/>
    <w:rsid w:val="00BC1FC2"/>
    <w:rsid w:val="00C116F6"/>
    <w:rsid w:val="00CC5453"/>
    <w:rsid w:val="00CE275A"/>
    <w:rsid w:val="00CE3EB9"/>
    <w:rsid w:val="00CE60EF"/>
    <w:rsid w:val="00CF70A6"/>
    <w:rsid w:val="00D76286"/>
    <w:rsid w:val="00E402DE"/>
    <w:rsid w:val="00E528F9"/>
    <w:rsid w:val="00EE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879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mcntdefault">
    <w:name w:val="mcntdefault"/>
    <w:basedOn w:val="Normln"/>
    <w:rsid w:val="00767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767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879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mcntdefault">
    <w:name w:val="mcntdefault"/>
    <w:basedOn w:val="Normln"/>
    <w:rsid w:val="00767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76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Eliška Čančíková</cp:lastModifiedBy>
  <cp:revision>5</cp:revision>
  <dcterms:created xsi:type="dcterms:W3CDTF">2023-06-13T13:56:00Z</dcterms:created>
  <dcterms:modified xsi:type="dcterms:W3CDTF">2023-06-13T14:13:00Z</dcterms:modified>
</cp:coreProperties>
</file>